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0CD8EB" w14:textId="2E555AD2" w:rsidR="00D02020" w:rsidRPr="00FF553B" w:rsidRDefault="00D02020" w:rsidP="00B91D2F">
      <w:pPr>
        <w:spacing w:after="0"/>
        <w:jc w:val="both"/>
        <w:rPr>
          <w:b/>
          <w:bCs/>
          <w:color w:val="FF0000"/>
        </w:rPr>
      </w:pPr>
      <w:r w:rsidRPr="00FF553B">
        <w:rPr>
          <w:b/>
          <w:bCs/>
          <w:color w:val="FF0000"/>
        </w:rPr>
        <w:t xml:space="preserve">Tous les agents publics ont </w:t>
      </w:r>
      <w:r w:rsidR="008D61A3" w:rsidRPr="00FF553B">
        <w:rPr>
          <w:b/>
          <w:bCs/>
          <w:color w:val="FF0000"/>
        </w:rPr>
        <w:t>des droits et</w:t>
      </w:r>
      <w:r w:rsidRPr="00FF553B">
        <w:rPr>
          <w:b/>
          <w:bCs/>
          <w:color w:val="FF0000"/>
        </w:rPr>
        <w:t xml:space="preserve"> </w:t>
      </w:r>
      <w:r w:rsidR="008D61A3" w:rsidRPr="00FF553B">
        <w:rPr>
          <w:b/>
          <w:bCs/>
          <w:color w:val="FF0000"/>
        </w:rPr>
        <w:t>des obligations en matière de</w:t>
      </w:r>
      <w:r w:rsidRPr="00FF553B">
        <w:rPr>
          <w:b/>
          <w:bCs/>
          <w:color w:val="FF0000"/>
        </w:rPr>
        <w:t xml:space="preserve"> sécurité au travail.</w:t>
      </w:r>
      <w:r w:rsidR="008D61A3" w:rsidRPr="00FF553B">
        <w:rPr>
          <w:b/>
          <w:bCs/>
          <w:color w:val="FF0000"/>
        </w:rPr>
        <w:t xml:space="preserve"> </w:t>
      </w:r>
    </w:p>
    <w:p w14:paraId="7F6476E3" w14:textId="1E32F814" w:rsidR="00D02020" w:rsidRDefault="00712B3C" w:rsidP="00B91D2F">
      <w:pPr>
        <w:spacing w:after="0"/>
        <w:jc w:val="both"/>
      </w:pPr>
      <w:r>
        <w:t xml:space="preserve">Cela </w:t>
      </w:r>
      <w:r w:rsidR="00D02020">
        <w:t xml:space="preserve">repose sur </w:t>
      </w:r>
      <w:r w:rsidR="008D61A3">
        <w:t>trois</w:t>
      </w:r>
      <w:r w:rsidR="00D02020">
        <w:t xml:space="preserve"> grands principes</w:t>
      </w:r>
      <w:r>
        <w:t xml:space="preserve"> pour les agents</w:t>
      </w:r>
      <w:r w:rsidR="008D61A3">
        <w:t> :</w:t>
      </w:r>
    </w:p>
    <w:p w14:paraId="11156A10" w14:textId="77777777" w:rsidR="00B91D2F" w:rsidRDefault="00B91D2F" w:rsidP="00B91D2F">
      <w:pPr>
        <w:spacing w:after="0"/>
        <w:jc w:val="both"/>
      </w:pPr>
    </w:p>
    <w:p w14:paraId="537741C5" w14:textId="631EDA9F" w:rsidR="008D61A3" w:rsidRPr="00B91D2F" w:rsidRDefault="00712B3C" w:rsidP="00B91D2F">
      <w:pPr>
        <w:pStyle w:val="Paragraphedeliste"/>
        <w:numPr>
          <w:ilvl w:val="0"/>
          <w:numId w:val="22"/>
        </w:numPr>
        <w:spacing w:after="0"/>
        <w:jc w:val="both"/>
        <w:rPr>
          <w:b/>
          <w:bCs/>
        </w:rPr>
      </w:pPr>
      <w:r w:rsidRPr="00B91D2F">
        <w:rPr>
          <w:b/>
          <w:bCs/>
        </w:rPr>
        <w:t xml:space="preserve">Le </w:t>
      </w:r>
      <w:r w:rsidR="008D61A3" w:rsidRPr="00B91D2F">
        <w:rPr>
          <w:b/>
          <w:bCs/>
        </w:rPr>
        <w:t>droit de se retirer en présence d’une situation de danger grave et imminent.</w:t>
      </w:r>
    </w:p>
    <w:p w14:paraId="2323241E" w14:textId="61EC04AF" w:rsidR="008D61A3" w:rsidRPr="00B91D2F" w:rsidRDefault="00712B3C" w:rsidP="00B91D2F">
      <w:pPr>
        <w:pStyle w:val="Paragraphedeliste"/>
        <w:numPr>
          <w:ilvl w:val="0"/>
          <w:numId w:val="22"/>
        </w:numPr>
        <w:spacing w:after="0"/>
        <w:jc w:val="both"/>
        <w:rPr>
          <w:b/>
          <w:bCs/>
        </w:rPr>
      </w:pPr>
      <w:r w:rsidRPr="00B91D2F">
        <w:rPr>
          <w:b/>
          <w:bCs/>
        </w:rPr>
        <w:t xml:space="preserve">L’obligation </w:t>
      </w:r>
      <w:r w:rsidR="008D61A3" w:rsidRPr="00B91D2F">
        <w:rPr>
          <w:b/>
          <w:bCs/>
        </w:rPr>
        <w:t>de signaler toute situation dangereuse pour lui ou ses collègues.</w:t>
      </w:r>
    </w:p>
    <w:p w14:paraId="4287109E" w14:textId="621258CA" w:rsidR="00712B3C" w:rsidRPr="00B91D2F" w:rsidRDefault="00B91D2F" w:rsidP="00B91D2F">
      <w:pPr>
        <w:pStyle w:val="Paragraphedeliste"/>
        <w:numPr>
          <w:ilvl w:val="0"/>
          <w:numId w:val="22"/>
        </w:numPr>
        <w:spacing w:after="0"/>
        <w:jc w:val="both"/>
        <w:rPr>
          <w:b/>
          <w:bCs/>
        </w:rPr>
      </w:pPr>
      <w:r w:rsidRPr="00B91D2F">
        <w:rPr>
          <w:b/>
          <w:bCs/>
        </w:rPr>
        <w:t>L’obligation de respecter les règles de sécurité édictées par l’Autorité Territoriale.</w:t>
      </w:r>
    </w:p>
    <w:p w14:paraId="22C7CD98" w14:textId="77777777" w:rsidR="00D02020" w:rsidRDefault="00D02020" w:rsidP="00D02020">
      <w:pPr>
        <w:spacing w:after="0"/>
      </w:pPr>
    </w:p>
    <w:tbl>
      <w:tblPr>
        <w:tblStyle w:val="Grilledutableau"/>
        <w:tblW w:w="10740" w:type="dxa"/>
        <w:shd w:val="clear" w:color="auto" w:fill="F2F2F2" w:themeFill="background1" w:themeFillShade="F2"/>
        <w:tblLook w:val="04A0" w:firstRow="1" w:lastRow="0" w:firstColumn="1" w:lastColumn="0" w:noHBand="0" w:noVBand="1"/>
      </w:tblPr>
      <w:tblGrid>
        <w:gridCol w:w="10740"/>
      </w:tblGrid>
      <w:tr w:rsidR="006D6D80" w14:paraId="1220D7FC" w14:textId="77777777" w:rsidTr="00FB1E36">
        <w:trPr>
          <w:trHeight w:val="573"/>
        </w:trPr>
        <w:tc>
          <w:tcPr>
            <w:tcW w:w="107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1B68533" w14:textId="666C6BE7" w:rsidR="006D6D80" w:rsidRPr="00CF7A74" w:rsidRDefault="006D6D80" w:rsidP="00FB1E36">
            <w:pPr>
              <w:jc w:val="center"/>
              <w:rPr>
                <w:rFonts w:cstheme="minorHAnsi"/>
                <w:b/>
                <w:sz w:val="32"/>
                <w:szCs w:val="32"/>
              </w:rPr>
            </w:pPr>
            <w:bookmarkStart w:id="0" w:name="_Hlk140850233"/>
            <w:r>
              <w:rPr>
                <w:rFonts w:cstheme="minorHAnsi"/>
                <w:b/>
                <w:sz w:val="28"/>
                <w:szCs w:val="28"/>
              </w:rPr>
              <w:t>Droit</w:t>
            </w:r>
            <w:r w:rsidR="000C43FF">
              <w:rPr>
                <w:rFonts w:cstheme="minorHAnsi"/>
                <w:b/>
                <w:sz w:val="28"/>
                <w:szCs w:val="28"/>
              </w:rPr>
              <w:t>s</w:t>
            </w:r>
            <w:r>
              <w:rPr>
                <w:rFonts w:cstheme="minorHAnsi"/>
                <w:b/>
                <w:sz w:val="28"/>
                <w:szCs w:val="28"/>
              </w:rPr>
              <w:t xml:space="preserve"> des agents publics</w:t>
            </w:r>
            <w:r w:rsidRPr="00B636A7">
              <w:rPr>
                <w:rFonts w:cstheme="minorHAnsi"/>
                <w:b/>
                <w:sz w:val="28"/>
                <w:szCs w:val="28"/>
              </w:rPr>
              <w:t> </w:t>
            </w:r>
          </w:p>
        </w:tc>
      </w:tr>
      <w:bookmarkEnd w:id="0"/>
    </w:tbl>
    <w:p w14:paraId="4F8D8FBD" w14:textId="77777777" w:rsidR="009F35C2" w:rsidRDefault="009F35C2" w:rsidP="007B1824">
      <w:pPr>
        <w:pStyle w:val="Sansinterligne"/>
      </w:pPr>
    </w:p>
    <w:p w14:paraId="63F964E7" w14:textId="2755F831" w:rsidR="000B4F8A" w:rsidRPr="00FF553B" w:rsidRDefault="00F90920" w:rsidP="000B4F8A">
      <w:pPr>
        <w:pStyle w:val="Paragraphedeliste"/>
        <w:numPr>
          <w:ilvl w:val="0"/>
          <w:numId w:val="19"/>
        </w:numPr>
        <w:spacing w:after="0"/>
        <w:ind w:left="567"/>
        <w:rPr>
          <w:b/>
          <w:sz w:val="24"/>
          <w:szCs w:val="18"/>
          <w:u w:val="single"/>
        </w:rPr>
      </w:pPr>
      <w:r w:rsidRPr="00FF553B">
        <w:rPr>
          <w:b/>
          <w:sz w:val="24"/>
          <w:szCs w:val="18"/>
          <w:u w:val="single"/>
        </w:rPr>
        <w:t>Droit à la protection physique et mentale</w:t>
      </w:r>
      <w:r w:rsidR="00DC570A" w:rsidRPr="00FF553B">
        <w:rPr>
          <w:b/>
          <w:sz w:val="24"/>
          <w:szCs w:val="18"/>
          <w:u w:val="single"/>
        </w:rPr>
        <w:t xml:space="preserve"> </w:t>
      </w:r>
      <w:r w:rsidRPr="00FF553B">
        <w:rPr>
          <w:b/>
          <w:sz w:val="24"/>
          <w:szCs w:val="18"/>
          <w:u w:val="single"/>
        </w:rPr>
        <w:t>:</w:t>
      </w:r>
    </w:p>
    <w:p w14:paraId="50FA6589" w14:textId="77777777" w:rsidR="000B4F8A" w:rsidRPr="000B4F8A" w:rsidRDefault="000B4F8A" w:rsidP="000B4F8A">
      <w:pPr>
        <w:spacing w:after="0"/>
        <w:ind w:left="207"/>
        <w:rPr>
          <w:b/>
          <w:sz w:val="24"/>
          <w:szCs w:val="18"/>
        </w:rPr>
      </w:pPr>
    </w:p>
    <w:p w14:paraId="6C69499B" w14:textId="77777777" w:rsidR="00F76581" w:rsidRPr="00FF553B" w:rsidRDefault="00760ED4" w:rsidP="000B4F8A">
      <w:pPr>
        <w:spacing w:after="0"/>
        <w:rPr>
          <w:b/>
          <w:szCs w:val="18"/>
        </w:rPr>
      </w:pPr>
      <w:r w:rsidRPr="00FF553B">
        <w:rPr>
          <w:b/>
          <w:szCs w:val="18"/>
        </w:rPr>
        <w:t>Les Autorités Territoriales sont chargées de veiller à la sécurité et à la protection de la santé des agents placés sous leur autorité.</w:t>
      </w:r>
      <w:r w:rsidR="00F76581" w:rsidRPr="00FF553B">
        <w:rPr>
          <w:b/>
          <w:szCs w:val="18"/>
        </w:rPr>
        <w:t xml:space="preserve"> </w:t>
      </w:r>
    </w:p>
    <w:p w14:paraId="3BF1F742" w14:textId="3CB0F9BB" w:rsidR="006D6D80" w:rsidRPr="00F76581" w:rsidRDefault="006D6D80" w:rsidP="000B4F8A">
      <w:pPr>
        <w:spacing w:after="0"/>
        <w:rPr>
          <w:bCs/>
          <w:szCs w:val="18"/>
        </w:rPr>
      </w:pPr>
      <w:r w:rsidRPr="006D6D80">
        <w:rPr>
          <w:bCs/>
          <w:szCs w:val="18"/>
        </w:rPr>
        <w:t>Des</w:t>
      </w:r>
      <w:r w:rsidR="004429E8" w:rsidRPr="006D6D80">
        <w:rPr>
          <w:bCs/>
          <w:szCs w:val="18"/>
        </w:rPr>
        <w:t xml:space="preserve"> conditions d'hygiène et de sécurité de nature à préserver leur santé et leur intégrité physique sont assurées aux </w:t>
      </w:r>
      <w:r>
        <w:rPr>
          <w:bCs/>
          <w:szCs w:val="18"/>
        </w:rPr>
        <w:t>agents publics</w:t>
      </w:r>
      <w:r w:rsidR="004429E8" w:rsidRPr="006D6D80">
        <w:rPr>
          <w:bCs/>
          <w:szCs w:val="18"/>
        </w:rPr>
        <w:t xml:space="preserve"> durant leur travail</w:t>
      </w:r>
      <w:r>
        <w:rPr>
          <w:bCs/>
          <w:szCs w:val="18"/>
        </w:rPr>
        <w:t xml:space="preserve">. </w:t>
      </w:r>
    </w:p>
    <w:p w14:paraId="15A8E276" w14:textId="46B886EA" w:rsidR="00F76581" w:rsidRDefault="00F76581" w:rsidP="00F76581">
      <w:pPr>
        <w:pStyle w:val="Paragraphedeliste"/>
        <w:spacing w:after="0"/>
        <w:jc w:val="right"/>
        <w:rPr>
          <w:bCs/>
          <w:i/>
          <w:iCs/>
          <w:sz w:val="20"/>
          <w:szCs w:val="16"/>
        </w:rPr>
      </w:pPr>
      <w:r w:rsidRPr="00760ED4">
        <w:rPr>
          <w:bCs/>
          <w:i/>
          <w:iCs/>
          <w:sz w:val="20"/>
          <w:szCs w:val="16"/>
        </w:rPr>
        <w:t>Article 2-1– Décret n°85-603 du 10 juin 1985</w:t>
      </w:r>
    </w:p>
    <w:p w14:paraId="5D210C45" w14:textId="75032B81" w:rsidR="006D6D80" w:rsidRDefault="006D6D80" w:rsidP="000B4F8A">
      <w:pPr>
        <w:spacing w:after="0"/>
        <w:ind w:left="207"/>
        <w:jc w:val="right"/>
        <w:rPr>
          <w:bCs/>
          <w:i/>
          <w:iCs/>
          <w:sz w:val="20"/>
          <w:szCs w:val="16"/>
        </w:rPr>
      </w:pPr>
      <w:r w:rsidRPr="006D6D80">
        <w:rPr>
          <w:bCs/>
          <w:i/>
          <w:iCs/>
          <w:sz w:val="20"/>
          <w:szCs w:val="16"/>
        </w:rPr>
        <w:t>Article L136-1 – Code Général de la Fonction Publique</w:t>
      </w:r>
    </w:p>
    <w:p w14:paraId="66D3957E" w14:textId="77777777" w:rsidR="00760ED4" w:rsidRDefault="00760ED4" w:rsidP="000B4F8A">
      <w:pPr>
        <w:spacing w:after="0"/>
        <w:ind w:left="207"/>
        <w:jc w:val="right"/>
        <w:rPr>
          <w:bCs/>
          <w:i/>
          <w:iCs/>
          <w:sz w:val="20"/>
          <w:szCs w:val="16"/>
        </w:rPr>
      </w:pPr>
    </w:p>
    <w:p w14:paraId="19B144DA" w14:textId="26DCA8B4" w:rsidR="00F90920" w:rsidRPr="00DC570A" w:rsidRDefault="00F90920" w:rsidP="000B4F8A">
      <w:pPr>
        <w:pStyle w:val="Sansinterligne"/>
        <w:spacing w:line="276" w:lineRule="auto"/>
        <w:rPr>
          <w:rFonts w:asciiTheme="minorHAnsi" w:eastAsiaTheme="minorHAnsi" w:hAnsiTheme="minorHAnsi" w:cstheme="minorBidi"/>
          <w:bCs/>
          <w:szCs w:val="18"/>
        </w:rPr>
      </w:pPr>
      <w:r w:rsidRPr="00FF553B">
        <w:rPr>
          <w:rFonts w:asciiTheme="minorHAnsi" w:eastAsiaTheme="minorHAnsi" w:hAnsiTheme="minorHAnsi" w:cstheme="minorBidi"/>
          <w:b/>
          <w:szCs w:val="18"/>
        </w:rPr>
        <w:t>L'employeur prend les mesures nécessaires pour assurer la sécurité et protéger la santé physique et mentale des travailleurs.</w:t>
      </w:r>
      <w:r w:rsidR="00F76581">
        <w:rPr>
          <w:rFonts w:asciiTheme="minorHAnsi" w:eastAsiaTheme="minorHAnsi" w:hAnsiTheme="minorHAnsi" w:cstheme="minorBidi"/>
          <w:bCs/>
          <w:szCs w:val="18"/>
        </w:rPr>
        <w:t xml:space="preserve"> </w:t>
      </w:r>
      <w:r w:rsidRPr="00DC570A">
        <w:rPr>
          <w:rFonts w:asciiTheme="minorHAnsi" w:eastAsiaTheme="minorHAnsi" w:hAnsiTheme="minorHAnsi" w:cstheme="minorBidi"/>
          <w:bCs/>
          <w:szCs w:val="18"/>
        </w:rPr>
        <w:t>Ces mesures comprennent :</w:t>
      </w:r>
    </w:p>
    <w:p w14:paraId="64929619" w14:textId="3B3A7D44" w:rsidR="004E4D6E" w:rsidRDefault="00F90920" w:rsidP="000B4F8A">
      <w:pPr>
        <w:pStyle w:val="Sansinterligne"/>
        <w:numPr>
          <w:ilvl w:val="0"/>
          <w:numId w:val="21"/>
        </w:numPr>
        <w:spacing w:line="276" w:lineRule="auto"/>
        <w:jc w:val="left"/>
        <w:rPr>
          <w:rFonts w:asciiTheme="minorHAnsi" w:eastAsiaTheme="minorHAnsi" w:hAnsiTheme="minorHAnsi" w:cstheme="minorBidi"/>
          <w:bCs/>
          <w:szCs w:val="18"/>
        </w:rPr>
      </w:pPr>
      <w:r w:rsidRPr="00DC570A">
        <w:rPr>
          <w:rFonts w:asciiTheme="minorHAnsi" w:eastAsiaTheme="minorHAnsi" w:hAnsiTheme="minorHAnsi" w:cstheme="minorBidi"/>
          <w:bCs/>
          <w:szCs w:val="18"/>
        </w:rPr>
        <w:t>Des actions de prévention des risques professionnels</w:t>
      </w:r>
      <w:r w:rsidR="004E4D6E">
        <w:rPr>
          <w:rFonts w:asciiTheme="minorHAnsi" w:eastAsiaTheme="minorHAnsi" w:hAnsiTheme="minorHAnsi" w:cstheme="minorBidi"/>
          <w:bCs/>
          <w:szCs w:val="18"/>
        </w:rPr>
        <w:t>.</w:t>
      </w:r>
    </w:p>
    <w:p w14:paraId="0184794B" w14:textId="6F847D93" w:rsidR="00F90920" w:rsidRPr="004E4D6E" w:rsidRDefault="00F90920" w:rsidP="000B4F8A">
      <w:pPr>
        <w:pStyle w:val="Sansinterligne"/>
        <w:numPr>
          <w:ilvl w:val="0"/>
          <w:numId w:val="21"/>
        </w:numPr>
        <w:spacing w:line="276" w:lineRule="auto"/>
        <w:jc w:val="left"/>
        <w:rPr>
          <w:rFonts w:asciiTheme="minorHAnsi" w:eastAsiaTheme="minorHAnsi" w:hAnsiTheme="minorHAnsi" w:cstheme="minorBidi"/>
          <w:bCs/>
          <w:szCs w:val="18"/>
        </w:rPr>
      </w:pPr>
      <w:r w:rsidRPr="004E4D6E">
        <w:rPr>
          <w:rFonts w:asciiTheme="minorHAnsi" w:eastAsiaTheme="minorHAnsi" w:hAnsiTheme="minorHAnsi" w:cstheme="minorBidi"/>
          <w:bCs/>
          <w:szCs w:val="18"/>
        </w:rPr>
        <w:t>Des actions d'information et de formation</w:t>
      </w:r>
      <w:r w:rsidR="004E4D6E">
        <w:rPr>
          <w:rFonts w:asciiTheme="minorHAnsi" w:eastAsiaTheme="minorHAnsi" w:hAnsiTheme="minorHAnsi" w:cstheme="minorBidi"/>
          <w:bCs/>
          <w:szCs w:val="18"/>
        </w:rPr>
        <w:t>.</w:t>
      </w:r>
    </w:p>
    <w:p w14:paraId="522DE75F" w14:textId="0379ADA4" w:rsidR="00F90920" w:rsidRPr="00DC570A" w:rsidRDefault="00F90920" w:rsidP="000B4F8A">
      <w:pPr>
        <w:pStyle w:val="Sansinterligne"/>
        <w:numPr>
          <w:ilvl w:val="0"/>
          <w:numId w:val="21"/>
        </w:numPr>
        <w:spacing w:line="276" w:lineRule="auto"/>
        <w:jc w:val="left"/>
        <w:rPr>
          <w:rFonts w:asciiTheme="minorHAnsi" w:eastAsiaTheme="minorHAnsi" w:hAnsiTheme="minorHAnsi" w:cstheme="minorBidi"/>
          <w:bCs/>
          <w:szCs w:val="18"/>
        </w:rPr>
      </w:pPr>
      <w:r w:rsidRPr="00DC570A">
        <w:rPr>
          <w:rFonts w:asciiTheme="minorHAnsi" w:eastAsiaTheme="minorHAnsi" w:hAnsiTheme="minorHAnsi" w:cstheme="minorBidi"/>
          <w:bCs/>
          <w:szCs w:val="18"/>
        </w:rPr>
        <w:t>La mise en place d'une organisation et de moyens adaptés.</w:t>
      </w:r>
    </w:p>
    <w:p w14:paraId="2BD203A7" w14:textId="66E98056" w:rsidR="00DC570A" w:rsidRDefault="00F90920" w:rsidP="000B4F8A">
      <w:pPr>
        <w:pStyle w:val="Sansinterligne"/>
        <w:spacing w:line="276" w:lineRule="auto"/>
        <w:jc w:val="left"/>
        <w:rPr>
          <w:rFonts w:asciiTheme="minorHAnsi" w:eastAsiaTheme="minorHAnsi" w:hAnsiTheme="minorHAnsi" w:cstheme="minorBidi"/>
          <w:bCs/>
          <w:szCs w:val="18"/>
        </w:rPr>
      </w:pPr>
      <w:r w:rsidRPr="00DC570A">
        <w:rPr>
          <w:rFonts w:asciiTheme="minorHAnsi" w:eastAsiaTheme="minorHAnsi" w:hAnsiTheme="minorHAnsi" w:cstheme="minorBidi"/>
          <w:bCs/>
          <w:szCs w:val="18"/>
        </w:rPr>
        <w:t>L'employeur veille à l'adaptation de ces mesures pour tenir compte du changement des circonstances et tendre à l'amélioration des situations existantes.</w:t>
      </w:r>
    </w:p>
    <w:p w14:paraId="43EB59B0" w14:textId="2490771D" w:rsidR="00DC570A" w:rsidRPr="00DC570A" w:rsidRDefault="00DC570A" w:rsidP="000B4F8A">
      <w:pPr>
        <w:pStyle w:val="Sansinterligne"/>
        <w:spacing w:line="276" w:lineRule="auto"/>
        <w:jc w:val="right"/>
        <w:rPr>
          <w:rFonts w:asciiTheme="minorHAnsi" w:eastAsiaTheme="minorHAnsi" w:hAnsiTheme="minorHAnsi" w:cstheme="minorBidi"/>
          <w:bCs/>
          <w:i/>
          <w:iCs/>
          <w:sz w:val="20"/>
          <w:szCs w:val="16"/>
        </w:rPr>
      </w:pPr>
      <w:r w:rsidRPr="00DC570A">
        <w:rPr>
          <w:rFonts w:asciiTheme="minorHAnsi" w:eastAsiaTheme="minorHAnsi" w:hAnsiTheme="minorHAnsi" w:cstheme="minorBidi"/>
          <w:bCs/>
          <w:i/>
          <w:iCs/>
          <w:sz w:val="20"/>
          <w:szCs w:val="16"/>
        </w:rPr>
        <w:t>Article L4121-1</w:t>
      </w:r>
      <w:r>
        <w:rPr>
          <w:rFonts w:asciiTheme="minorHAnsi" w:eastAsiaTheme="minorHAnsi" w:hAnsiTheme="minorHAnsi" w:cstheme="minorBidi"/>
          <w:bCs/>
          <w:i/>
          <w:iCs/>
          <w:sz w:val="20"/>
          <w:szCs w:val="16"/>
        </w:rPr>
        <w:t xml:space="preserve"> - </w:t>
      </w:r>
      <w:r w:rsidRPr="00DC570A">
        <w:rPr>
          <w:rFonts w:asciiTheme="minorHAnsi" w:eastAsiaTheme="minorHAnsi" w:hAnsiTheme="minorHAnsi" w:cstheme="minorBidi"/>
          <w:bCs/>
          <w:i/>
          <w:iCs/>
          <w:sz w:val="20"/>
          <w:szCs w:val="16"/>
        </w:rPr>
        <w:t>Code du travail </w:t>
      </w:r>
    </w:p>
    <w:p w14:paraId="1A4CF0E4" w14:textId="77777777" w:rsidR="00F90920" w:rsidRDefault="00F90920" w:rsidP="000B4F8A">
      <w:pPr>
        <w:pStyle w:val="Sansinterligne"/>
        <w:spacing w:line="276" w:lineRule="auto"/>
        <w:rPr>
          <w:i/>
        </w:rPr>
      </w:pPr>
    </w:p>
    <w:p w14:paraId="4BFB022A" w14:textId="4264670F" w:rsidR="00F90920" w:rsidRPr="00FF553B" w:rsidRDefault="00F90920" w:rsidP="000B4F8A">
      <w:pPr>
        <w:pStyle w:val="Paragraphedeliste"/>
        <w:numPr>
          <w:ilvl w:val="0"/>
          <w:numId w:val="19"/>
        </w:numPr>
        <w:spacing w:after="0"/>
        <w:ind w:left="567"/>
        <w:rPr>
          <w:b/>
          <w:sz w:val="24"/>
          <w:szCs w:val="18"/>
          <w:u w:val="single"/>
        </w:rPr>
      </w:pPr>
      <w:r w:rsidRPr="00FF553B">
        <w:rPr>
          <w:b/>
          <w:sz w:val="24"/>
          <w:szCs w:val="18"/>
          <w:u w:val="single"/>
        </w:rPr>
        <w:t>Droit à la formation en hygiène et sécurité :</w:t>
      </w:r>
    </w:p>
    <w:p w14:paraId="3569D0D6" w14:textId="77777777" w:rsidR="000B4F8A" w:rsidRDefault="000B4F8A" w:rsidP="000B4F8A">
      <w:pPr>
        <w:pStyle w:val="Paragraphedeliste"/>
        <w:spacing w:after="0"/>
        <w:ind w:left="567"/>
        <w:rPr>
          <w:b/>
          <w:sz w:val="24"/>
          <w:szCs w:val="18"/>
        </w:rPr>
      </w:pPr>
    </w:p>
    <w:p w14:paraId="019374BD" w14:textId="77777777" w:rsidR="000B4F8A" w:rsidRDefault="00F90920" w:rsidP="000B4F8A">
      <w:pPr>
        <w:spacing w:after="0"/>
        <w:rPr>
          <w:bCs/>
          <w:szCs w:val="18"/>
        </w:rPr>
      </w:pPr>
      <w:r w:rsidRPr="00A109DB">
        <w:rPr>
          <w:bCs/>
          <w:szCs w:val="18"/>
        </w:rPr>
        <w:t>La formation en matière d'hygiène et de sécurité est au nombre des actions prévues par l</w:t>
      </w:r>
      <w:r w:rsidR="00A109DB" w:rsidRPr="00A109DB">
        <w:rPr>
          <w:bCs/>
          <w:szCs w:val="18"/>
        </w:rPr>
        <w:t>’article L422-21 du Code Général de la Fonction Publique</w:t>
      </w:r>
      <w:r w:rsidRPr="00A109DB">
        <w:rPr>
          <w:bCs/>
          <w:szCs w:val="18"/>
        </w:rPr>
        <w:t>.</w:t>
      </w:r>
    </w:p>
    <w:p w14:paraId="20660A9E" w14:textId="53A1CF1D" w:rsidR="00A109DB" w:rsidRPr="000B4F8A" w:rsidRDefault="00A109DB" w:rsidP="000B4F8A">
      <w:pPr>
        <w:spacing w:after="0"/>
        <w:jc w:val="right"/>
        <w:rPr>
          <w:bCs/>
          <w:szCs w:val="18"/>
        </w:rPr>
      </w:pPr>
      <w:r w:rsidRPr="00A109DB">
        <w:rPr>
          <w:bCs/>
          <w:i/>
          <w:iCs/>
          <w:sz w:val="20"/>
          <w:szCs w:val="16"/>
        </w:rPr>
        <w:t xml:space="preserve">Article 6 </w:t>
      </w:r>
      <w:r>
        <w:rPr>
          <w:bCs/>
          <w:i/>
          <w:iCs/>
          <w:sz w:val="20"/>
          <w:szCs w:val="16"/>
        </w:rPr>
        <w:t>- D</w:t>
      </w:r>
      <w:r w:rsidRPr="00A109DB">
        <w:rPr>
          <w:bCs/>
          <w:i/>
          <w:iCs/>
          <w:sz w:val="20"/>
          <w:szCs w:val="16"/>
        </w:rPr>
        <w:t xml:space="preserve">écret </w:t>
      </w:r>
      <w:r>
        <w:rPr>
          <w:bCs/>
          <w:i/>
          <w:iCs/>
          <w:sz w:val="20"/>
          <w:szCs w:val="16"/>
        </w:rPr>
        <w:t>n°</w:t>
      </w:r>
      <w:r w:rsidRPr="00A109DB">
        <w:rPr>
          <w:bCs/>
          <w:i/>
          <w:iCs/>
          <w:sz w:val="20"/>
          <w:szCs w:val="16"/>
        </w:rPr>
        <w:t>85-603 du 10 juin 1985 </w:t>
      </w:r>
    </w:p>
    <w:p w14:paraId="426FECF5" w14:textId="77777777" w:rsidR="00F90920" w:rsidRPr="00A4747F" w:rsidRDefault="00F90920" w:rsidP="000B4F8A">
      <w:pPr>
        <w:spacing w:after="0"/>
        <w:jc w:val="center"/>
        <w:rPr>
          <w:rFonts w:ascii="Calibri" w:eastAsia="Calibri" w:hAnsi="Calibri" w:cs="Times New Roman"/>
          <w:i/>
        </w:rPr>
      </w:pPr>
    </w:p>
    <w:p w14:paraId="5AE243DA" w14:textId="77777777" w:rsidR="00F90920" w:rsidRPr="00FF553B" w:rsidRDefault="00F90920" w:rsidP="000B4F8A">
      <w:pPr>
        <w:pStyle w:val="Paragraphedeliste"/>
        <w:numPr>
          <w:ilvl w:val="0"/>
          <w:numId w:val="19"/>
        </w:numPr>
        <w:spacing w:after="0"/>
        <w:ind w:left="567"/>
        <w:rPr>
          <w:b/>
          <w:sz w:val="24"/>
          <w:szCs w:val="18"/>
          <w:u w:val="single"/>
        </w:rPr>
      </w:pPr>
      <w:r w:rsidRPr="00FF553B">
        <w:rPr>
          <w:b/>
          <w:sz w:val="24"/>
          <w:szCs w:val="18"/>
          <w:u w:val="single"/>
        </w:rPr>
        <w:t>Droit de retrait en cas de danger grave et imminent :</w:t>
      </w:r>
    </w:p>
    <w:p w14:paraId="05009574" w14:textId="77777777" w:rsidR="000B4F8A" w:rsidRPr="00EB7D41" w:rsidRDefault="000B4F8A" w:rsidP="000B4F8A">
      <w:pPr>
        <w:pStyle w:val="Paragraphedeliste"/>
        <w:spacing w:after="0"/>
        <w:ind w:left="567"/>
        <w:rPr>
          <w:b/>
          <w:sz w:val="24"/>
          <w:szCs w:val="18"/>
        </w:rPr>
      </w:pPr>
    </w:p>
    <w:p w14:paraId="2C70821A" w14:textId="3D0CB356" w:rsidR="002C617A" w:rsidRDefault="00F90920" w:rsidP="00F76581">
      <w:pPr>
        <w:pStyle w:val="Sansinterligne"/>
        <w:spacing w:line="276" w:lineRule="auto"/>
        <w:jc w:val="left"/>
        <w:rPr>
          <w:rFonts w:asciiTheme="minorHAnsi" w:eastAsiaTheme="minorHAnsi" w:hAnsiTheme="minorHAnsi" w:cstheme="minorBidi"/>
          <w:bCs/>
          <w:szCs w:val="18"/>
        </w:rPr>
      </w:pPr>
      <w:r w:rsidRPr="00A109DB">
        <w:rPr>
          <w:rFonts w:asciiTheme="minorHAnsi" w:eastAsiaTheme="minorHAnsi" w:hAnsiTheme="minorHAnsi" w:cstheme="minorBidi"/>
          <w:bCs/>
          <w:szCs w:val="18"/>
        </w:rPr>
        <w:t xml:space="preserve">Si un agent a un motif raisonnable de penser que sa situation de travail présente un danger grave et imminent pour sa vie ou pour sa santé ou s'il constate une défectuosité dans les systèmes de protection, </w:t>
      </w:r>
      <w:r w:rsidRPr="00FF553B">
        <w:rPr>
          <w:rFonts w:asciiTheme="minorHAnsi" w:eastAsiaTheme="minorHAnsi" w:hAnsiTheme="minorHAnsi" w:cstheme="minorBidi"/>
          <w:b/>
          <w:szCs w:val="18"/>
        </w:rPr>
        <w:t>il en avise immédiatement son supérieur hiérarchique. Il peut se retirer d'une telle situation</w:t>
      </w:r>
      <w:r w:rsidRPr="00FC60F5">
        <w:rPr>
          <w:rFonts w:asciiTheme="minorHAnsi" w:eastAsiaTheme="minorHAnsi" w:hAnsiTheme="minorHAnsi" w:cstheme="minorBidi"/>
          <w:bCs/>
          <w:szCs w:val="18"/>
        </w:rPr>
        <w:t>.</w:t>
      </w:r>
    </w:p>
    <w:p w14:paraId="2C127DA0" w14:textId="77777777" w:rsidR="00C77393" w:rsidRDefault="00C77393" w:rsidP="00F76581">
      <w:pPr>
        <w:pStyle w:val="Sansinterligne"/>
        <w:spacing w:line="276" w:lineRule="auto"/>
        <w:jc w:val="left"/>
        <w:rPr>
          <w:rFonts w:asciiTheme="minorHAnsi" w:eastAsiaTheme="minorHAnsi" w:hAnsiTheme="minorHAnsi" w:cstheme="minorBidi"/>
          <w:bCs/>
          <w:szCs w:val="18"/>
        </w:rPr>
      </w:pPr>
    </w:p>
    <w:p w14:paraId="6EFF8BED" w14:textId="77777777" w:rsidR="00B91D2F" w:rsidRPr="00A109DB" w:rsidRDefault="00B91D2F" w:rsidP="00F76581">
      <w:pPr>
        <w:pStyle w:val="Sansinterligne"/>
        <w:spacing w:line="276" w:lineRule="auto"/>
        <w:jc w:val="left"/>
        <w:rPr>
          <w:rFonts w:asciiTheme="minorHAnsi" w:eastAsiaTheme="minorHAnsi" w:hAnsiTheme="minorHAnsi" w:cstheme="minorBidi"/>
          <w:bCs/>
          <w:szCs w:val="18"/>
        </w:rPr>
      </w:pPr>
    </w:p>
    <w:p w14:paraId="179E3F48" w14:textId="11E3AD56" w:rsidR="00592C27" w:rsidRPr="008D61A3" w:rsidRDefault="00A109DB" w:rsidP="008D61A3">
      <w:pPr>
        <w:pStyle w:val="Sansinterligne"/>
        <w:spacing w:line="276" w:lineRule="auto"/>
        <w:jc w:val="right"/>
        <w:rPr>
          <w:rFonts w:asciiTheme="minorHAnsi" w:eastAsiaTheme="minorHAnsi" w:hAnsiTheme="minorHAnsi" w:cstheme="minorBidi"/>
          <w:bCs/>
          <w:i/>
          <w:iCs/>
          <w:sz w:val="20"/>
          <w:szCs w:val="16"/>
        </w:rPr>
      </w:pPr>
      <w:r w:rsidRPr="00A109DB">
        <w:rPr>
          <w:rFonts w:asciiTheme="minorHAnsi" w:eastAsiaTheme="minorHAnsi" w:hAnsiTheme="minorHAnsi" w:cstheme="minorBidi"/>
          <w:bCs/>
          <w:i/>
          <w:iCs/>
          <w:sz w:val="20"/>
          <w:szCs w:val="16"/>
        </w:rPr>
        <w:t xml:space="preserve">Article 5-1 </w:t>
      </w:r>
      <w:r>
        <w:rPr>
          <w:rFonts w:asciiTheme="minorHAnsi" w:eastAsiaTheme="minorHAnsi" w:hAnsiTheme="minorHAnsi" w:cstheme="minorBidi"/>
          <w:bCs/>
          <w:i/>
          <w:iCs/>
          <w:sz w:val="20"/>
          <w:szCs w:val="16"/>
        </w:rPr>
        <w:t>- D</w:t>
      </w:r>
      <w:r w:rsidRPr="00A109DB">
        <w:rPr>
          <w:rFonts w:asciiTheme="minorHAnsi" w:eastAsiaTheme="minorHAnsi" w:hAnsiTheme="minorHAnsi" w:cstheme="minorBidi"/>
          <w:bCs/>
          <w:i/>
          <w:iCs/>
          <w:sz w:val="20"/>
          <w:szCs w:val="16"/>
        </w:rPr>
        <w:t>écret 85-603 du 10 juin 1985</w:t>
      </w:r>
    </w:p>
    <w:tbl>
      <w:tblPr>
        <w:tblStyle w:val="Grilledutableau"/>
        <w:tblW w:w="10798" w:type="dxa"/>
        <w:tblLook w:val="04A0" w:firstRow="1" w:lastRow="0" w:firstColumn="1" w:lastColumn="0" w:noHBand="0" w:noVBand="1"/>
      </w:tblPr>
      <w:tblGrid>
        <w:gridCol w:w="10798"/>
      </w:tblGrid>
      <w:tr w:rsidR="00520019" w14:paraId="527B6BF2" w14:textId="77777777" w:rsidTr="006A755B">
        <w:trPr>
          <w:trHeight w:val="595"/>
        </w:trPr>
        <w:tc>
          <w:tcPr>
            <w:tcW w:w="1079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9E504E" w14:textId="05244699" w:rsidR="00520019" w:rsidRPr="00CF7A74" w:rsidRDefault="00F90920" w:rsidP="000B4F8A">
            <w:pPr>
              <w:jc w:val="center"/>
              <w:rPr>
                <w:rFonts w:cstheme="minorHAnsi"/>
                <w:b/>
                <w:sz w:val="32"/>
                <w:szCs w:val="32"/>
              </w:rPr>
            </w:pPr>
            <w:r>
              <w:rPr>
                <w:rFonts w:cstheme="minorHAnsi"/>
                <w:b/>
                <w:sz w:val="28"/>
                <w:szCs w:val="28"/>
              </w:rPr>
              <w:lastRenderedPageBreak/>
              <w:t xml:space="preserve">Devoirs des </w:t>
            </w:r>
            <w:r w:rsidR="006D6D80">
              <w:rPr>
                <w:rFonts w:cstheme="minorHAnsi"/>
                <w:b/>
                <w:sz w:val="28"/>
                <w:szCs w:val="28"/>
              </w:rPr>
              <w:t>agents publics</w:t>
            </w:r>
          </w:p>
        </w:tc>
      </w:tr>
    </w:tbl>
    <w:p w14:paraId="36614AFA" w14:textId="77777777" w:rsidR="00FB02CA" w:rsidRDefault="00FB02CA" w:rsidP="000B4F8A">
      <w:pPr>
        <w:spacing w:after="0"/>
        <w:jc w:val="both"/>
        <w:rPr>
          <w:rFonts w:cs="Arial"/>
          <w:iCs/>
        </w:rPr>
      </w:pPr>
    </w:p>
    <w:p w14:paraId="2C3F0A5C" w14:textId="77777777" w:rsidR="00FF553B" w:rsidRDefault="00FF553B" w:rsidP="000B4F8A">
      <w:pPr>
        <w:spacing w:after="0"/>
        <w:jc w:val="both"/>
        <w:rPr>
          <w:rFonts w:cs="Arial"/>
          <w:iCs/>
        </w:rPr>
      </w:pPr>
    </w:p>
    <w:p w14:paraId="3E1F3BFC" w14:textId="77777777" w:rsidR="00F90920" w:rsidRPr="00FF553B" w:rsidRDefault="00F90920" w:rsidP="000B4F8A">
      <w:pPr>
        <w:pStyle w:val="Paragraphedeliste"/>
        <w:numPr>
          <w:ilvl w:val="0"/>
          <w:numId w:val="19"/>
        </w:numPr>
        <w:spacing w:after="0"/>
        <w:ind w:left="567"/>
        <w:rPr>
          <w:b/>
          <w:sz w:val="24"/>
          <w:szCs w:val="18"/>
          <w:u w:val="single"/>
        </w:rPr>
      </w:pPr>
      <w:r w:rsidRPr="00FF553B">
        <w:rPr>
          <w:b/>
          <w:sz w:val="24"/>
          <w:szCs w:val="18"/>
          <w:u w:val="single"/>
        </w:rPr>
        <w:t>Devoir de se conformer aux instructions de son supérieur hiérarchique :</w:t>
      </w:r>
    </w:p>
    <w:p w14:paraId="57EC89BD" w14:textId="77777777" w:rsidR="000B4F8A" w:rsidRDefault="000B4F8A" w:rsidP="000B4F8A">
      <w:pPr>
        <w:pStyle w:val="Paragraphedeliste"/>
        <w:spacing w:after="0"/>
        <w:ind w:left="567"/>
        <w:rPr>
          <w:b/>
          <w:sz w:val="24"/>
          <w:szCs w:val="18"/>
        </w:rPr>
      </w:pPr>
    </w:p>
    <w:p w14:paraId="4957A7DB" w14:textId="66DC84BA" w:rsidR="00B946B5" w:rsidRDefault="00B946B5" w:rsidP="000B4F8A">
      <w:pPr>
        <w:spacing w:after="0"/>
        <w:jc w:val="both"/>
        <w:rPr>
          <w:iCs/>
          <w:szCs w:val="18"/>
        </w:rPr>
      </w:pPr>
      <w:r w:rsidRPr="00B946B5">
        <w:rPr>
          <w:iCs/>
          <w:szCs w:val="18"/>
        </w:rPr>
        <w:t>L'agent public, quel que soit son rang dans la hiérarchie, est responsable de l'exécution des tâches qui lui sont confiées</w:t>
      </w:r>
      <w:r>
        <w:rPr>
          <w:iCs/>
          <w:szCs w:val="18"/>
        </w:rPr>
        <w:t xml:space="preserve">. </w:t>
      </w:r>
      <w:r w:rsidRPr="00B946B5">
        <w:rPr>
          <w:iCs/>
          <w:szCs w:val="18"/>
        </w:rPr>
        <w:t>Il n'est</w:t>
      </w:r>
      <w:r w:rsidR="00B8318C">
        <w:rPr>
          <w:iCs/>
          <w:szCs w:val="18"/>
        </w:rPr>
        <w:t xml:space="preserve"> </w:t>
      </w:r>
      <w:r w:rsidRPr="00B946B5">
        <w:rPr>
          <w:iCs/>
          <w:szCs w:val="18"/>
        </w:rPr>
        <w:t>dégagé d'aucune des responsabilités qui lui incombent par la responsabilité propre de ses subordonnés.</w:t>
      </w:r>
    </w:p>
    <w:p w14:paraId="24DC73A1" w14:textId="2E76B876" w:rsidR="00B946B5" w:rsidRPr="00633E09" w:rsidRDefault="00B946B5" w:rsidP="000B4F8A">
      <w:pPr>
        <w:spacing w:after="0"/>
        <w:jc w:val="right"/>
        <w:rPr>
          <w:bCs/>
          <w:i/>
          <w:iCs/>
          <w:sz w:val="20"/>
          <w:szCs w:val="16"/>
        </w:rPr>
      </w:pPr>
      <w:r w:rsidRPr="00633E09">
        <w:rPr>
          <w:bCs/>
          <w:i/>
          <w:iCs/>
          <w:sz w:val="20"/>
          <w:szCs w:val="16"/>
        </w:rPr>
        <w:t>Article L121-9 – Code Général de la Fonction publique</w:t>
      </w:r>
    </w:p>
    <w:p w14:paraId="7A55A7AA" w14:textId="77777777" w:rsidR="00B946B5" w:rsidRDefault="00B946B5" w:rsidP="000B4F8A">
      <w:pPr>
        <w:spacing w:after="0"/>
        <w:jc w:val="both"/>
        <w:rPr>
          <w:iCs/>
          <w:szCs w:val="18"/>
        </w:rPr>
      </w:pPr>
    </w:p>
    <w:p w14:paraId="79E1E4F9" w14:textId="732D36FD" w:rsidR="00B946B5" w:rsidRDefault="00B946B5" w:rsidP="000B4F8A">
      <w:pPr>
        <w:spacing w:after="0"/>
        <w:jc w:val="both"/>
        <w:rPr>
          <w:iCs/>
          <w:szCs w:val="18"/>
        </w:rPr>
      </w:pPr>
      <w:r w:rsidRPr="00B946B5">
        <w:rPr>
          <w:iCs/>
          <w:szCs w:val="18"/>
        </w:rPr>
        <w:t>L'agent public doit se conformer aux instructions de son supérieur hiérarchique, sauf dans le cas où l'ordre donné est manifestement illégal et de nature à compromettre gravement un intérêt public.</w:t>
      </w:r>
    </w:p>
    <w:p w14:paraId="5A805A8D" w14:textId="61F1A857" w:rsidR="00B946B5" w:rsidRPr="00633E09" w:rsidRDefault="00B946B5" w:rsidP="000B4F8A">
      <w:pPr>
        <w:spacing w:after="0"/>
        <w:jc w:val="right"/>
        <w:rPr>
          <w:bCs/>
          <w:i/>
          <w:iCs/>
          <w:sz w:val="20"/>
          <w:szCs w:val="16"/>
        </w:rPr>
      </w:pPr>
      <w:r w:rsidRPr="00633E09">
        <w:rPr>
          <w:bCs/>
          <w:i/>
          <w:iCs/>
          <w:sz w:val="20"/>
          <w:szCs w:val="16"/>
        </w:rPr>
        <w:t>Article L121-10 – Code Général de la Fonction publique</w:t>
      </w:r>
    </w:p>
    <w:p w14:paraId="1053A70D" w14:textId="77777777" w:rsidR="00B946B5" w:rsidRPr="00B946B5" w:rsidRDefault="00B946B5" w:rsidP="000B4F8A">
      <w:pPr>
        <w:spacing w:after="0"/>
        <w:rPr>
          <w:iCs/>
          <w:szCs w:val="18"/>
        </w:rPr>
      </w:pPr>
    </w:p>
    <w:p w14:paraId="616F052A" w14:textId="5A506F97" w:rsidR="00F90920" w:rsidRPr="00FF553B" w:rsidRDefault="00F90920" w:rsidP="000B4F8A">
      <w:pPr>
        <w:pStyle w:val="Paragraphedeliste"/>
        <w:numPr>
          <w:ilvl w:val="0"/>
          <w:numId w:val="19"/>
        </w:numPr>
        <w:spacing w:after="0"/>
        <w:ind w:left="567"/>
        <w:rPr>
          <w:b/>
          <w:sz w:val="24"/>
          <w:szCs w:val="18"/>
          <w:u w:val="single"/>
        </w:rPr>
      </w:pPr>
      <w:r w:rsidRPr="00FF553B">
        <w:rPr>
          <w:b/>
          <w:sz w:val="24"/>
          <w:szCs w:val="18"/>
          <w:u w:val="single"/>
        </w:rPr>
        <w:t>Devoir de prendre en considération sa sécurité et celle de ses collègues :</w:t>
      </w:r>
    </w:p>
    <w:p w14:paraId="6536615A" w14:textId="77777777" w:rsidR="00633E09" w:rsidRPr="00EB7D41" w:rsidRDefault="00633E09" w:rsidP="000B4F8A">
      <w:pPr>
        <w:pStyle w:val="Paragraphedeliste"/>
        <w:spacing w:after="0"/>
        <w:ind w:left="567"/>
        <w:rPr>
          <w:b/>
          <w:sz w:val="24"/>
          <w:szCs w:val="18"/>
        </w:rPr>
      </w:pPr>
    </w:p>
    <w:p w14:paraId="771C3801" w14:textId="5BD453EF" w:rsidR="00633E09" w:rsidRDefault="00633E09" w:rsidP="000B4F8A">
      <w:pPr>
        <w:spacing w:after="0"/>
        <w:jc w:val="both"/>
      </w:pPr>
      <w:r>
        <w:t>Conformément aux instructions qui lui sont données par l'employeur, il incombe à chaque travailleur de prendre soin, en fonction de sa formation et selon ses possibilités, de sa santé et de sa sécurité ainsi que de celles des autres personnes concernées par ses actes ou ses omissions au travail.</w:t>
      </w:r>
    </w:p>
    <w:p w14:paraId="3C98CE5E" w14:textId="718A25AD" w:rsidR="00633E09" w:rsidRDefault="00633E09" w:rsidP="000B4F8A">
      <w:pPr>
        <w:spacing w:after="0"/>
        <w:jc w:val="both"/>
      </w:pPr>
      <w:r>
        <w:t>Les instructions de l'employeur précisent, en particulier lorsque la nature des risques le justifie, les conditions d'utilisation des équipements de travail, des moyens de protection, des substances et préparations dangereuses. Elles sont adaptées à la nature des tâches à accomplir.</w:t>
      </w:r>
    </w:p>
    <w:p w14:paraId="5A8BEC02" w14:textId="77777777" w:rsidR="00633E09" w:rsidRDefault="00633E09" w:rsidP="000B4F8A">
      <w:pPr>
        <w:spacing w:after="0"/>
        <w:jc w:val="both"/>
      </w:pPr>
    </w:p>
    <w:p w14:paraId="5BBCA550" w14:textId="28A385CB" w:rsidR="00633E09" w:rsidRDefault="00633E09" w:rsidP="000B4F8A">
      <w:pPr>
        <w:spacing w:after="0"/>
        <w:jc w:val="both"/>
      </w:pPr>
      <w:r>
        <w:t>Les dispositions du premier alinéa sont sans incidence sur le principe de la responsabilité de l'employeur.</w:t>
      </w:r>
    </w:p>
    <w:p w14:paraId="0255B1B9" w14:textId="43C1EB74" w:rsidR="00633E09" w:rsidRDefault="00633E09" w:rsidP="000B4F8A">
      <w:pPr>
        <w:spacing w:after="0"/>
        <w:jc w:val="right"/>
        <w:rPr>
          <w:bCs/>
          <w:i/>
          <w:iCs/>
          <w:sz w:val="20"/>
          <w:szCs w:val="16"/>
        </w:rPr>
      </w:pPr>
      <w:r w:rsidRPr="00633E09">
        <w:rPr>
          <w:bCs/>
          <w:i/>
          <w:iCs/>
          <w:sz w:val="20"/>
          <w:szCs w:val="16"/>
        </w:rPr>
        <w:t>Article L4122-1 – Code Général de la Fonction publique</w:t>
      </w:r>
    </w:p>
    <w:p w14:paraId="2A8D4768" w14:textId="77777777" w:rsidR="000B4F8A" w:rsidRPr="00633E09" w:rsidRDefault="000B4F8A" w:rsidP="000B4F8A">
      <w:pPr>
        <w:spacing w:after="0"/>
        <w:jc w:val="right"/>
        <w:rPr>
          <w:bCs/>
          <w:i/>
          <w:iCs/>
          <w:sz w:val="20"/>
          <w:szCs w:val="16"/>
        </w:rPr>
      </w:pPr>
    </w:p>
    <w:p w14:paraId="442E8E7A" w14:textId="77777777" w:rsidR="00F90920" w:rsidRPr="00FF553B" w:rsidRDefault="00F90920" w:rsidP="000B4F8A">
      <w:pPr>
        <w:pStyle w:val="Paragraphedeliste"/>
        <w:numPr>
          <w:ilvl w:val="0"/>
          <w:numId w:val="19"/>
        </w:numPr>
        <w:spacing w:after="0"/>
        <w:ind w:left="567"/>
        <w:rPr>
          <w:b/>
          <w:sz w:val="24"/>
          <w:szCs w:val="18"/>
          <w:u w:val="single"/>
        </w:rPr>
      </w:pPr>
      <w:r w:rsidRPr="00FF553B">
        <w:rPr>
          <w:b/>
          <w:sz w:val="24"/>
          <w:szCs w:val="18"/>
          <w:u w:val="single"/>
        </w:rPr>
        <w:t>Devoir de signalement :</w:t>
      </w:r>
    </w:p>
    <w:p w14:paraId="36163C35" w14:textId="77777777" w:rsidR="000B4F8A" w:rsidRPr="00EB7D41" w:rsidRDefault="000B4F8A" w:rsidP="000B4F8A">
      <w:pPr>
        <w:pStyle w:val="Paragraphedeliste"/>
        <w:spacing w:after="0"/>
        <w:ind w:left="567"/>
        <w:rPr>
          <w:b/>
          <w:sz w:val="24"/>
          <w:szCs w:val="18"/>
        </w:rPr>
      </w:pPr>
    </w:p>
    <w:p w14:paraId="51B26462" w14:textId="24508D4C" w:rsidR="00633E09" w:rsidRPr="00633E09" w:rsidRDefault="00F90920" w:rsidP="000B4F8A">
      <w:pPr>
        <w:spacing w:after="0"/>
        <w:jc w:val="both"/>
      </w:pPr>
      <w:r w:rsidRPr="00633E09">
        <w:t>Toute autorité constituée, tout officier public ou fonctionnaire qui, dans l'exercice de ses fonctions, acquiert la connaissance d'un crime ou d'un délit est tenu d'en donner avis sans délai au procureur de la République et de transmettre à ce magistrat tous les renseignements, procès-verbaux et actes qui y sont relatifs.</w:t>
      </w:r>
    </w:p>
    <w:p w14:paraId="0807E9C4" w14:textId="6017A3D4" w:rsidR="00633E09" w:rsidRPr="00633E09" w:rsidRDefault="00633E09" w:rsidP="000B4F8A">
      <w:pPr>
        <w:spacing w:after="0"/>
        <w:jc w:val="right"/>
        <w:rPr>
          <w:bCs/>
          <w:i/>
          <w:iCs/>
          <w:sz w:val="20"/>
          <w:szCs w:val="16"/>
        </w:rPr>
      </w:pPr>
      <w:r w:rsidRPr="00633E09">
        <w:rPr>
          <w:bCs/>
          <w:i/>
          <w:iCs/>
          <w:sz w:val="20"/>
          <w:szCs w:val="16"/>
        </w:rPr>
        <w:t>Article 40 - Code de procédure pénale </w:t>
      </w:r>
    </w:p>
    <w:p w14:paraId="5997EF3D" w14:textId="77777777" w:rsidR="00F90920" w:rsidRDefault="00F90920" w:rsidP="00EB4DB8">
      <w:pPr>
        <w:jc w:val="both"/>
        <w:rPr>
          <w:rFonts w:cs="Arial"/>
          <w:iCs/>
        </w:rPr>
      </w:pPr>
    </w:p>
    <w:p w14:paraId="55D173F3" w14:textId="77777777" w:rsidR="00FC1165" w:rsidRDefault="00FC1165" w:rsidP="00EB4DB8">
      <w:pPr>
        <w:jc w:val="both"/>
        <w:rPr>
          <w:rFonts w:cs="Arial"/>
          <w:iCs/>
        </w:rPr>
      </w:pPr>
    </w:p>
    <w:p w14:paraId="1DAB4117" w14:textId="77777777" w:rsidR="00FC1165" w:rsidRDefault="00FC1165" w:rsidP="00EB4DB8">
      <w:pPr>
        <w:jc w:val="both"/>
        <w:rPr>
          <w:rFonts w:cs="Arial"/>
          <w:iCs/>
        </w:rPr>
      </w:pPr>
    </w:p>
    <w:p w14:paraId="0EBBF9E6" w14:textId="77777777" w:rsidR="00FC1165" w:rsidRDefault="00FC1165" w:rsidP="00EB4DB8">
      <w:pPr>
        <w:jc w:val="both"/>
        <w:rPr>
          <w:rFonts w:cs="Arial"/>
          <w:iCs/>
        </w:rPr>
      </w:pPr>
    </w:p>
    <w:p w14:paraId="63A808C6" w14:textId="77777777" w:rsidR="00592C27" w:rsidRDefault="00592C27" w:rsidP="00EB4DB8">
      <w:pPr>
        <w:jc w:val="both"/>
        <w:rPr>
          <w:rFonts w:cs="Arial"/>
          <w:iCs/>
        </w:rPr>
      </w:pPr>
    </w:p>
    <w:p w14:paraId="6D9CE1B7" w14:textId="77777777" w:rsidR="00592C27" w:rsidRDefault="00592C27" w:rsidP="00EB4DB8">
      <w:pPr>
        <w:jc w:val="both"/>
        <w:rPr>
          <w:rFonts w:cs="Arial"/>
          <w:iCs/>
        </w:rPr>
      </w:pPr>
    </w:p>
    <w:tbl>
      <w:tblPr>
        <w:tblStyle w:val="Grilledutableau"/>
        <w:tblW w:w="10740" w:type="dxa"/>
        <w:shd w:val="clear" w:color="auto" w:fill="F2F2F2" w:themeFill="background1" w:themeFillShade="F2"/>
        <w:tblLook w:val="04A0" w:firstRow="1" w:lastRow="0" w:firstColumn="1" w:lastColumn="0" w:noHBand="0" w:noVBand="1"/>
      </w:tblPr>
      <w:tblGrid>
        <w:gridCol w:w="10740"/>
      </w:tblGrid>
      <w:tr w:rsidR="00FC1165" w14:paraId="75283613" w14:textId="77777777" w:rsidTr="00D02020">
        <w:trPr>
          <w:trHeight w:val="573"/>
        </w:trPr>
        <w:tc>
          <w:tcPr>
            <w:tcW w:w="107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F83C25" w14:textId="004E10AE" w:rsidR="00FC1165" w:rsidRPr="00FC1165" w:rsidRDefault="00840283" w:rsidP="000073F8">
            <w:pPr>
              <w:spacing w:before="100" w:beforeAutospacing="1" w:after="100" w:afterAutospacing="1"/>
              <w:jc w:val="center"/>
              <w:outlineLvl w:val="3"/>
              <w:rPr>
                <w:rFonts w:eastAsia="Times New Roman" w:cstheme="minorHAnsi"/>
                <w:b/>
                <w:bCs/>
                <w:sz w:val="28"/>
                <w:szCs w:val="28"/>
                <w:lang w:eastAsia="fr-FR"/>
              </w:rPr>
            </w:pPr>
            <w:bookmarkStart w:id="1" w:name="_Hlk157521158"/>
            <w:r>
              <w:rPr>
                <w:rFonts w:eastAsia="Times New Roman" w:cstheme="minorHAnsi"/>
                <w:b/>
                <w:bCs/>
                <w:sz w:val="28"/>
                <w:szCs w:val="28"/>
                <w:lang w:eastAsia="fr-FR"/>
              </w:rPr>
              <w:lastRenderedPageBreak/>
              <w:t>Définir les règles de sécurité</w:t>
            </w:r>
          </w:p>
        </w:tc>
      </w:tr>
      <w:bookmarkEnd w:id="1"/>
    </w:tbl>
    <w:p w14:paraId="4CDB2C5F" w14:textId="77777777" w:rsidR="00BD75F6" w:rsidRDefault="00BD75F6" w:rsidP="00BD75F6">
      <w:pPr>
        <w:spacing w:after="0"/>
        <w:rPr>
          <w:rStyle w:val="hgkelc"/>
        </w:rPr>
      </w:pPr>
    </w:p>
    <w:p w14:paraId="0520897B" w14:textId="7B04E9A5" w:rsidR="00BA0579" w:rsidRDefault="00A15BE3" w:rsidP="00BD75F6">
      <w:pPr>
        <w:spacing w:after="0"/>
        <w:jc w:val="both"/>
        <w:rPr>
          <w:rStyle w:val="hgkelc"/>
        </w:rPr>
      </w:pPr>
      <w:r>
        <w:rPr>
          <w:rStyle w:val="hgkelc"/>
        </w:rPr>
        <w:t xml:space="preserve">Même s’il ne s’agit pas d’une obligation dans la </w:t>
      </w:r>
      <w:r w:rsidR="004D2B2F">
        <w:rPr>
          <w:rStyle w:val="hgkelc"/>
        </w:rPr>
        <w:t>F</w:t>
      </w:r>
      <w:r>
        <w:rPr>
          <w:rStyle w:val="hgkelc"/>
        </w:rPr>
        <w:t xml:space="preserve">onction </w:t>
      </w:r>
      <w:r w:rsidR="004D2B2F">
        <w:rPr>
          <w:rStyle w:val="hgkelc"/>
        </w:rPr>
        <w:t>P</w:t>
      </w:r>
      <w:r>
        <w:rPr>
          <w:rStyle w:val="hgkelc"/>
        </w:rPr>
        <w:t xml:space="preserve">ublique </w:t>
      </w:r>
      <w:r w:rsidR="004D2B2F">
        <w:rPr>
          <w:rStyle w:val="hgkelc"/>
        </w:rPr>
        <w:t>T</w:t>
      </w:r>
      <w:r>
        <w:rPr>
          <w:rStyle w:val="hgkelc"/>
        </w:rPr>
        <w:t>erritoriale, il est fortement conseillé de rédiger et mettre en œuvre un règlement intérieur de santé et de sécurité au travail.</w:t>
      </w:r>
    </w:p>
    <w:p w14:paraId="3E4E702A" w14:textId="2B523C6B" w:rsidR="00026E3E" w:rsidRDefault="00BA0579" w:rsidP="00531AEC">
      <w:pPr>
        <w:spacing w:after="0"/>
        <w:jc w:val="both"/>
        <w:rPr>
          <w:rStyle w:val="hgkelc"/>
        </w:rPr>
      </w:pPr>
      <w:r>
        <w:rPr>
          <w:rStyle w:val="hgkelc"/>
        </w:rPr>
        <w:t xml:space="preserve">Le règlement intérieur </w:t>
      </w:r>
      <w:r>
        <w:rPr>
          <w:rStyle w:val="hgkelc"/>
          <w:b/>
          <w:bCs/>
        </w:rPr>
        <w:t>fixe</w:t>
      </w:r>
      <w:r w:rsidR="00026E3E">
        <w:rPr>
          <w:rStyle w:val="hgkelc"/>
          <w:b/>
          <w:bCs/>
        </w:rPr>
        <w:t xml:space="preserve"> les règles applicables au sein de la collectivité en matière de santé, de sécurité</w:t>
      </w:r>
      <w:r>
        <w:rPr>
          <w:rStyle w:val="hgkelc"/>
          <w:b/>
          <w:bCs/>
        </w:rPr>
        <w:t>,</w:t>
      </w:r>
      <w:r w:rsidR="00026E3E">
        <w:rPr>
          <w:rStyle w:val="hgkelc"/>
          <w:b/>
          <w:bCs/>
        </w:rPr>
        <w:t xml:space="preserve"> de discipline</w:t>
      </w:r>
      <w:r>
        <w:rPr>
          <w:rStyle w:val="hgkelc"/>
          <w:b/>
          <w:bCs/>
        </w:rPr>
        <w:t>, d’organisation du travail, d’absence, d’utilisation des locaux et des équipements..</w:t>
      </w:r>
      <w:r w:rsidR="00026E3E">
        <w:rPr>
          <w:rStyle w:val="hgkelc"/>
        </w:rPr>
        <w:t xml:space="preserve">. </w:t>
      </w:r>
    </w:p>
    <w:p w14:paraId="72AA70AD" w14:textId="77777777" w:rsidR="00BD75F6" w:rsidRPr="00BA0579" w:rsidRDefault="00BD75F6" w:rsidP="00531AEC">
      <w:pPr>
        <w:spacing w:after="0"/>
        <w:jc w:val="both"/>
      </w:pPr>
    </w:p>
    <w:p w14:paraId="29E632FE" w14:textId="0D8CCF5F" w:rsidR="00026E3E" w:rsidRDefault="00026E3E" w:rsidP="00531AEC">
      <w:pPr>
        <w:spacing w:after="0"/>
        <w:jc w:val="both"/>
        <w:rPr>
          <w:rStyle w:val="hgkelc"/>
        </w:rPr>
      </w:pPr>
      <w:r w:rsidRPr="00FC60F5">
        <w:rPr>
          <w:rStyle w:val="hgkelc"/>
          <w:b/>
          <w:bCs/>
        </w:rPr>
        <w:t>Il doit être porté à la connaissance de tous les agents</w:t>
      </w:r>
      <w:r w:rsidR="00356142" w:rsidRPr="00FC60F5">
        <w:rPr>
          <w:rStyle w:val="hgkelc"/>
          <w:b/>
          <w:bCs/>
        </w:rPr>
        <w:t>,</w:t>
      </w:r>
      <w:r w:rsidRPr="00FC60F5">
        <w:rPr>
          <w:rStyle w:val="hgkelc"/>
        </w:rPr>
        <w:t xml:space="preserve"> par</w:t>
      </w:r>
      <w:r>
        <w:rPr>
          <w:rStyle w:val="hgkelc"/>
        </w:rPr>
        <w:t xml:space="preserve"> </w:t>
      </w:r>
      <w:r w:rsidRPr="00FC60F5">
        <w:rPr>
          <w:rStyle w:val="hgkelc"/>
        </w:rPr>
        <w:t>tou</w:t>
      </w:r>
      <w:r w:rsidR="00C87A70" w:rsidRPr="00FC60F5">
        <w:rPr>
          <w:rStyle w:val="hgkelc"/>
        </w:rPr>
        <w:t>s</w:t>
      </w:r>
      <w:r w:rsidRPr="00FC60F5">
        <w:rPr>
          <w:rStyle w:val="hgkelc"/>
        </w:rPr>
        <w:t xml:space="preserve"> moyen</w:t>
      </w:r>
      <w:r w:rsidR="00C87A70" w:rsidRPr="00FC60F5">
        <w:rPr>
          <w:rStyle w:val="hgkelc"/>
        </w:rPr>
        <w:t>s</w:t>
      </w:r>
      <w:r w:rsidRPr="00FC60F5">
        <w:rPr>
          <w:rStyle w:val="hgkelc"/>
        </w:rPr>
        <w:t xml:space="preserve"> utile</w:t>
      </w:r>
      <w:r w:rsidR="00C87A70" w:rsidRPr="00FC60F5">
        <w:rPr>
          <w:rStyle w:val="hgkelc"/>
        </w:rPr>
        <w:t>s</w:t>
      </w:r>
      <w:r w:rsidR="00356142" w:rsidRPr="00FC60F5">
        <w:rPr>
          <w:rStyle w:val="hgkelc"/>
        </w:rPr>
        <w:t>,</w:t>
      </w:r>
      <w:r w:rsidR="00356142">
        <w:rPr>
          <w:rStyle w:val="hgkelc"/>
        </w:rPr>
        <w:t xml:space="preserve"> </w:t>
      </w:r>
      <w:r>
        <w:rPr>
          <w:rStyle w:val="hgkelc"/>
        </w:rPr>
        <w:t>intranet</w:t>
      </w:r>
      <w:r w:rsidR="00356142">
        <w:rPr>
          <w:rStyle w:val="hgkelc"/>
        </w:rPr>
        <w:t>, affichage</w:t>
      </w:r>
      <w:r w:rsidR="00453095">
        <w:rPr>
          <w:rStyle w:val="hgkelc"/>
        </w:rPr>
        <w:t xml:space="preserve"> sur tous les sites</w:t>
      </w:r>
      <w:r w:rsidR="00356142">
        <w:rPr>
          <w:rStyle w:val="hgkelc"/>
        </w:rPr>
        <w:t xml:space="preserve"> ou remise en main propre contre </w:t>
      </w:r>
      <w:r w:rsidR="00453095">
        <w:rPr>
          <w:rStyle w:val="hgkelc"/>
        </w:rPr>
        <w:t xml:space="preserve">récépissé </w:t>
      </w:r>
      <w:r w:rsidR="00356142">
        <w:rPr>
          <w:rStyle w:val="hgkelc"/>
        </w:rPr>
        <w:t xml:space="preserve">signé de l’agent, </w:t>
      </w:r>
      <w:r w:rsidR="00453095">
        <w:rPr>
          <w:rStyle w:val="hgkelc"/>
        </w:rPr>
        <w:t>attestant</w:t>
      </w:r>
      <w:r w:rsidR="00356142">
        <w:rPr>
          <w:rStyle w:val="hgkelc"/>
        </w:rPr>
        <w:t xml:space="preserve"> que l’agent </w:t>
      </w:r>
      <w:r w:rsidR="00453095">
        <w:rPr>
          <w:rStyle w:val="hgkelc"/>
        </w:rPr>
        <w:t>a</w:t>
      </w:r>
      <w:r w:rsidR="00356142">
        <w:rPr>
          <w:rStyle w:val="hgkelc"/>
        </w:rPr>
        <w:t xml:space="preserve"> </w:t>
      </w:r>
      <w:r w:rsidR="00453095">
        <w:rPr>
          <w:rStyle w:val="hgkelc"/>
        </w:rPr>
        <w:t>reçu le règlement et en a</w:t>
      </w:r>
      <w:r w:rsidR="00356142">
        <w:rPr>
          <w:rStyle w:val="hgkelc"/>
        </w:rPr>
        <w:t xml:space="preserve"> bien pris connaissance.</w:t>
      </w:r>
      <w:r w:rsidR="00453095">
        <w:rPr>
          <w:rStyle w:val="hgkelc"/>
        </w:rPr>
        <w:t xml:space="preserve"> </w:t>
      </w:r>
      <w:r w:rsidR="00453095" w:rsidRPr="00453095">
        <w:rPr>
          <w:rStyle w:val="hgkelc"/>
          <w:b/>
          <w:bCs/>
        </w:rPr>
        <w:t>Le règlement intérieur</w:t>
      </w:r>
      <w:r w:rsidR="00356142" w:rsidRPr="00453095">
        <w:rPr>
          <w:rStyle w:val="hgkelc"/>
          <w:b/>
          <w:bCs/>
        </w:rPr>
        <w:t xml:space="preserve"> doit être aussi </w:t>
      </w:r>
      <w:r w:rsidRPr="00453095">
        <w:rPr>
          <w:rStyle w:val="hgkelc"/>
          <w:b/>
          <w:bCs/>
        </w:rPr>
        <w:t>suivi</w:t>
      </w:r>
      <w:r w:rsidR="00C16E54" w:rsidRPr="00453095">
        <w:rPr>
          <w:rStyle w:val="hgkelc"/>
          <w:b/>
          <w:bCs/>
        </w:rPr>
        <w:t xml:space="preserve"> </w:t>
      </w:r>
      <w:r w:rsidRPr="00453095">
        <w:rPr>
          <w:rStyle w:val="hgkelc"/>
          <w:b/>
          <w:bCs/>
        </w:rPr>
        <w:t>de notes de service.</w:t>
      </w:r>
      <w:r>
        <w:rPr>
          <w:rStyle w:val="hgkelc"/>
        </w:rPr>
        <w:t xml:space="preserve"> </w:t>
      </w:r>
    </w:p>
    <w:p w14:paraId="39012633" w14:textId="77777777" w:rsidR="00BD75F6" w:rsidRDefault="00BD75F6" w:rsidP="00531AEC">
      <w:pPr>
        <w:spacing w:after="0"/>
        <w:jc w:val="both"/>
        <w:rPr>
          <w:rStyle w:val="hgkelc"/>
        </w:rPr>
      </w:pPr>
    </w:p>
    <w:p w14:paraId="3750A1BF" w14:textId="712BD1A5" w:rsidR="00531AEC" w:rsidRPr="009E4EAA" w:rsidRDefault="00531AEC" w:rsidP="00531AEC">
      <w:pPr>
        <w:spacing w:after="0"/>
        <w:jc w:val="both"/>
        <w:rPr>
          <w:rStyle w:val="hgkelc"/>
          <w:b/>
          <w:bCs/>
          <w:color w:val="FF0000"/>
        </w:rPr>
      </w:pPr>
      <w:r w:rsidRPr="009E4EAA">
        <w:rPr>
          <w:rStyle w:val="hgkelc"/>
          <w:b/>
          <w:bCs/>
          <w:color w:val="FF0000"/>
        </w:rPr>
        <w:t xml:space="preserve">Lorsqu’il est instauré dans une collectivité ou un établissement public, le règlement intérieur constitue une base réglementaire </w:t>
      </w:r>
      <w:r w:rsidR="00A15BE3" w:rsidRPr="009E4EAA">
        <w:rPr>
          <w:rStyle w:val="hgkelc"/>
          <w:b/>
          <w:bCs/>
          <w:color w:val="FF0000"/>
        </w:rPr>
        <w:t>à partir de laquelle l’Autorité Territoriale pourra sanctionner l’agent qui ne respecte pas les règles de la collectivité</w:t>
      </w:r>
      <w:r w:rsidRPr="009E4EAA">
        <w:rPr>
          <w:rStyle w:val="hgkelc"/>
          <w:b/>
          <w:bCs/>
          <w:color w:val="FF0000"/>
        </w:rPr>
        <w:t>.</w:t>
      </w:r>
    </w:p>
    <w:p w14:paraId="7E2BA8A0" w14:textId="77777777" w:rsidR="00840283" w:rsidRDefault="00840283" w:rsidP="00531AEC">
      <w:pPr>
        <w:spacing w:after="0"/>
        <w:jc w:val="both"/>
        <w:rPr>
          <w:rStyle w:val="hgkelc"/>
          <w:b/>
          <w:bCs/>
        </w:rPr>
      </w:pPr>
    </w:p>
    <w:tbl>
      <w:tblPr>
        <w:tblStyle w:val="Grilledutableau"/>
        <w:tblpPr w:leftFromText="141" w:rightFromText="141" w:vertAnchor="text" w:horzAnchor="margin" w:tblpY="6"/>
        <w:tblOverlap w:val="never"/>
        <w:tblW w:w="10740" w:type="dxa"/>
        <w:shd w:val="clear" w:color="auto" w:fill="F2F2F2" w:themeFill="background1" w:themeFillShade="F2"/>
        <w:tblLayout w:type="fixed"/>
        <w:tblLook w:val="04A0" w:firstRow="1" w:lastRow="0" w:firstColumn="1" w:lastColumn="0" w:noHBand="0" w:noVBand="1"/>
      </w:tblPr>
      <w:tblGrid>
        <w:gridCol w:w="10740"/>
      </w:tblGrid>
      <w:tr w:rsidR="00840283" w14:paraId="2A253ADC" w14:textId="77777777" w:rsidTr="00A07022">
        <w:trPr>
          <w:trHeight w:val="573"/>
        </w:trPr>
        <w:tc>
          <w:tcPr>
            <w:tcW w:w="107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060CC8" w14:textId="4CE4F6EB" w:rsidR="00840283" w:rsidRPr="00FC1165" w:rsidRDefault="00840283" w:rsidP="00A07022">
            <w:pPr>
              <w:spacing w:before="100" w:beforeAutospacing="1" w:after="100" w:afterAutospacing="1"/>
              <w:jc w:val="center"/>
              <w:outlineLvl w:val="3"/>
              <w:rPr>
                <w:rFonts w:eastAsia="Times New Roman" w:cstheme="minorHAnsi"/>
                <w:b/>
                <w:bCs/>
                <w:sz w:val="28"/>
                <w:szCs w:val="28"/>
                <w:lang w:eastAsia="fr-FR"/>
              </w:rPr>
            </w:pPr>
            <w:bookmarkStart w:id="2" w:name="_Hlk158309231"/>
            <w:r>
              <w:rPr>
                <w:rFonts w:eastAsia="Times New Roman" w:cstheme="minorHAnsi"/>
                <w:b/>
                <w:bCs/>
                <w:sz w:val="28"/>
                <w:szCs w:val="28"/>
                <w:lang w:eastAsia="fr-FR"/>
              </w:rPr>
              <w:t>Sensibiliser</w:t>
            </w:r>
            <w:r w:rsidR="00FF080D">
              <w:rPr>
                <w:rFonts w:eastAsia="Times New Roman" w:cstheme="minorHAnsi"/>
                <w:b/>
                <w:bCs/>
                <w:sz w:val="28"/>
                <w:szCs w:val="28"/>
                <w:lang w:eastAsia="fr-FR"/>
              </w:rPr>
              <w:t xml:space="preserve"> et former</w:t>
            </w:r>
            <w:r>
              <w:rPr>
                <w:rFonts w:eastAsia="Times New Roman" w:cstheme="minorHAnsi"/>
                <w:b/>
                <w:bCs/>
                <w:sz w:val="28"/>
                <w:szCs w:val="28"/>
                <w:lang w:eastAsia="fr-FR"/>
              </w:rPr>
              <w:t xml:space="preserve"> aux règles de sécurité </w:t>
            </w:r>
          </w:p>
        </w:tc>
      </w:tr>
      <w:bookmarkEnd w:id="2"/>
    </w:tbl>
    <w:p w14:paraId="193AD386" w14:textId="77777777" w:rsidR="00840283" w:rsidRPr="00531AEC" w:rsidRDefault="00840283" w:rsidP="00531AEC">
      <w:pPr>
        <w:spacing w:after="0"/>
        <w:jc w:val="both"/>
        <w:rPr>
          <w:rStyle w:val="hgkelc"/>
          <w:b/>
          <w:bCs/>
        </w:rPr>
      </w:pPr>
    </w:p>
    <w:p w14:paraId="26C5B72F" w14:textId="7888CAA2" w:rsidR="00FF080D" w:rsidRDefault="00FF080D" w:rsidP="00FF553B">
      <w:pPr>
        <w:spacing w:after="0"/>
        <w:jc w:val="both"/>
      </w:pPr>
      <w:r>
        <w:t>La sensibilisation et la formation aux règles de sécurité sont des étapes primordiales en matière de prévention.</w:t>
      </w:r>
    </w:p>
    <w:p w14:paraId="4838B07C" w14:textId="41D75705" w:rsidR="00DC1543" w:rsidRDefault="00FF080D" w:rsidP="00FF553B">
      <w:pPr>
        <w:spacing w:after="0"/>
        <w:jc w:val="both"/>
        <w:rPr>
          <w:rStyle w:val="Lienhypertexte"/>
        </w:rPr>
      </w:pPr>
      <w:r>
        <w:t>Il existe des formations obligatoires et recommandé</w:t>
      </w:r>
      <w:r w:rsidR="00696736">
        <w:t>e</w:t>
      </w:r>
      <w:r>
        <w:t>s en matière d’hygiène et de sécurité au travail</w:t>
      </w:r>
      <w:r w:rsidR="00696736">
        <w:t>.</w:t>
      </w:r>
      <w:r>
        <w:t xml:space="preserve"> (</w:t>
      </w:r>
      <w:hyperlink r:id="rId8" w:history="1">
        <w:r w:rsidR="00696736" w:rsidRPr="00696736">
          <w:rPr>
            <w:rStyle w:val="Lienhypertexte"/>
          </w:rPr>
          <w:t>DR 02 – Formations en Santé et Sécurité au Travail)</w:t>
        </w:r>
      </w:hyperlink>
    </w:p>
    <w:p w14:paraId="09008F90" w14:textId="77777777" w:rsidR="00F0691C" w:rsidRDefault="00F0691C" w:rsidP="00FF553B">
      <w:pPr>
        <w:spacing w:after="0"/>
        <w:jc w:val="both"/>
      </w:pPr>
    </w:p>
    <w:p w14:paraId="18D69134" w14:textId="44597F36" w:rsidR="00BD75F6" w:rsidRDefault="00EB72C7" w:rsidP="00FF553B">
      <w:pPr>
        <w:spacing w:after="0"/>
        <w:jc w:val="both"/>
      </w:pPr>
      <w:r w:rsidRPr="00FF553B">
        <w:rPr>
          <w:b/>
          <w:bCs/>
        </w:rPr>
        <w:t xml:space="preserve">Les formations en matière </w:t>
      </w:r>
      <w:r w:rsidR="00696736" w:rsidRPr="00FF553B">
        <w:rPr>
          <w:b/>
          <w:bCs/>
        </w:rPr>
        <w:t xml:space="preserve">de santé et de sécurité au travail </w:t>
      </w:r>
      <w:r w:rsidRPr="00FF553B">
        <w:rPr>
          <w:b/>
          <w:bCs/>
        </w:rPr>
        <w:t>sont obligatoires aussi bien pour la collectivité qui se doit de les dispenser que pour l’agent qui a l’obligation de les suivre.</w:t>
      </w:r>
      <w:r>
        <w:t xml:space="preserve"> L’agent ne peut se soustraire à cette obligation. </w:t>
      </w:r>
      <w:r w:rsidR="00FF080D">
        <w:t>Une absence non justifiée</w:t>
      </w:r>
      <w:r>
        <w:t xml:space="preserve"> peut alors être sanctionnable.</w:t>
      </w:r>
    </w:p>
    <w:p w14:paraId="6AB50D0C" w14:textId="77777777" w:rsidR="009F58BB" w:rsidRDefault="009F58BB" w:rsidP="00FF553B">
      <w:pPr>
        <w:spacing w:after="0"/>
        <w:jc w:val="both"/>
      </w:pPr>
    </w:p>
    <w:p w14:paraId="06BAE43C" w14:textId="306BBC03" w:rsidR="00696736" w:rsidRDefault="00696736" w:rsidP="00FF553B">
      <w:pPr>
        <w:spacing w:after="0"/>
        <w:jc w:val="both"/>
      </w:pPr>
      <w:r>
        <w:t xml:space="preserve">La collectivité informe les agents des </w:t>
      </w:r>
      <w:r w:rsidR="00962392">
        <w:t xml:space="preserve">règles de sécurité sous différentes formes : </w:t>
      </w:r>
    </w:p>
    <w:p w14:paraId="3B874A6F" w14:textId="6DA443FE" w:rsidR="00962392" w:rsidRDefault="00962392" w:rsidP="00FF553B">
      <w:pPr>
        <w:pStyle w:val="Paragraphedeliste"/>
        <w:numPr>
          <w:ilvl w:val="0"/>
          <w:numId w:val="19"/>
        </w:numPr>
        <w:spacing w:after="0"/>
        <w:jc w:val="both"/>
      </w:pPr>
      <w:r>
        <w:t>Rappel des consignes</w:t>
      </w:r>
    </w:p>
    <w:p w14:paraId="68BAEDA8" w14:textId="46B417C6" w:rsidR="00962392" w:rsidRDefault="00962392" w:rsidP="00FF553B">
      <w:pPr>
        <w:pStyle w:val="Paragraphedeliste"/>
        <w:numPr>
          <w:ilvl w:val="0"/>
          <w:numId w:val="19"/>
        </w:numPr>
        <w:spacing w:after="0"/>
        <w:jc w:val="both"/>
      </w:pPr>
      <w:r>
        <w:t>Affichage des notices de poste</w:t>
      </w:r>
    </w:p>
    <w:p w14:paraId="24A1C65C" w14:textId="3F6A9828" w:rsidR="00962392" w:rsidRDefault="00962392" w:rsidP="00FF553B">
      <w:pPr>
        <w:pStyle w:val="Paragraphedeliste"/>
        <w:numPr>
          <w:ilvl w:val="0"/>
          <w:numId w:val="19"/>
        </w:numPr>
        <w:spacing w:after="0"/>
        <w:jc w:val="both"/>
      </w:pPr>
      <w:r>
        <w:t>Flash sécurité</w:t>
      </w:r>
    </w:p>
    <w:p w14:paraId="227F7797" w14:textId="78869DF1" w:rsidR="00962392" w:rsidRDefault="00962392" w:rsidP="00FF553B">
      <w:pPr>
        <w:pStyle w:val="Paragraphedeliste"/>
        <w:numPr>
          <w:ilvl w:val="0"/>
          <w:numId w:val="19"/>
        </w:numPr>
        <w:spacing w:after="0"/>
        <w:jc w:val="both"/>
      </w:pPr>
      <w:r>
        <w:t>Diffusion de livrets métiers et fiches de risques</w:t>
      </w:r>
    </w:p>
    <w:p w14:paraId="6B3751AB" w14:textId="77777777" w:rsidR="00DC1543" w:rsidRDefault="00DC1543" w:rsidP="00FF553B">
      <w:pPr>
        <w:spacing w:after="0"/>
        <w:ind w:left="360"/>
        <w:jc w:val="both"/>
      </w:pPr>
    </w:p>
    <w:p w14:paraId="49B9CE10" w14:textId="5469C108" w:rsidR="00DC1543" w:rsidRPr="00E56945" w:rsidRDefault="00DC1543" w:rsidP="00FF553B">
      <w:pPr>
        <w:spacing w:after="0"/>
        <w:jc w:val="both"/>
        <w:rPr>
          <w:b/>
          <w:bCs/>
          <w:color w:val="000000" w:themeColor="text1"/>
        </w:rPr>
      </w:pPr>
      <w:r w:rsidRPr="00E56945">
        <w:rPr>
          <w:b/>
          <w:bCs/>
          <w:color w:val="000000" w:themeColor="text1"/>
        </w:rPr>
        <w:t>Un défaut de formation ou d’information de l’agent pourrait contribuer à diminuer la responsabilité de celui-ci en cas de manquement. A contrario, si l’employeur met tout en œuvre pour garantir la sécurité, le manquement d’un agent à ses obligations constitue une faute susceptible d’être sanctionnée.</w:t>
      </w:r>
    </w:p>
    <w:p w14:paraId="76E283BD" w14:textId="77777777" w:rsidR="00DC1543" w:rsidRDefault="00DC1543" w:rsidP="00FF553B">
      <w:pPr>
        <w:spacing w:after="0"/>
        <w:jc w:val="both"/>
      </w:pPr>
    </w:p>
    <w:p w14:paraId="27022AA1" w14:textId="61D09F81" w:rsidR="009F58BB" w:rsidRDefault="00DC1543" w:rsidP="00FF553B">
      <w:pPr>
        <w:spacing w:after="0"/>
        <w:jc w:val="both"/>
      </w:pPr>
      <w:r>
        <w:t>La collectivité sensibilise les agents sur la nécessité de signaler toutes les problématiques liées à la sécurité dans le registre santé et sécurité au travail</w:t>
      </w:r>
      <w:r w:rsidR="009E4EAA">
        <w:t xml:space="preserve">. </w:t>
      </w:r>
      <w:r>
        <w:t xml:space="preserve"> </w:t>
      </w:r>
      <w:hyperlink r:id="rId9" w:history="1">
        <w:r w:rsidRPr="00DC1543">
          <w:rPr>
            <w:rStyle w:val="Lienhypertexte"/>
          </w:rPr>
          <w:t>(DR 09 – Registre de Santé et Sécurité)</w:t>
        </w:r>
      </w:hyperlink>
    </w:p>
    <w:p w14:paraId="5DDC4BD7" w14:textId="77777777" w:rsidR="00DC1543" w:rsidRDefault="00DC1543" w:rsidP="00BD75F6">
      <w:pPr>
        <w:spacing w:after="0"/>
      </w:pPr>
    </w:p>
    <w:p w14:paraId="7A1DAF86" w14:textId="77777777" w:rsidR="00DC1543" w:rsidRDefault="00DC1543" w:rsidP="00BD75F6">
      <w:pPr>
        <w:spacing w:after="0"/>
      </w:pPr>
    </w:p>
    <w:p w14:paraId="02EC7C7E" w14:textId="77777777" w:rsidR="009F58BB" w:rsidRPr="00754F95" w:rsidRDefault="009F58BB" w:rsidP="00BD75F6">
      <w:pPr>
        <w:spacing w:after="0"/>
      </w:pPr>
    </w:p>
    <w:tbl>
      <w:tblPr>
        <w:tblStyle w:val="Grilledutableau"/>
        <w:tblpPr w:leftFromText="141" w:rightFromText="141" w:vertAnchor="text" w:horzAnchor="margin" w:tblpY="6"/>
        <w:tblOverlap w:val="never"/>
        <w:tblW w:w="10740" w:type="dxa"/>
        <w:shd w:val="clear" w:color="auto" w:fill="F2F2F2" w:themeFill="background1" w:themeFillShade="F2"/>
        <w:tblLayout w:type="fixed"/>
        <w:tblLook w:val="04A0" w:firstRow="1" w:lastRow="0" w:firstColumn="1" w:lastColumn="0" w:noHBand="0" w:noVBand="1"/>
      </w:tblPr>
      <w:tblGrid>
        <w:gridCol w:w="10740"/>
      </w:tblGrid>
      <w:tr w:rsidR="00A14E89" w14:paraId="48993A8F" w14:textId="77777777" w:rsidTr="00D02020">
        <w:trPr>
          <w:trHeight w:val="573"/>
        </w:trPr>
        <w:tc>
          <w:tcPr>
            <w:tcW w:w="107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80F9378" w14:textId="70D68523" w:rsidR="00A14E89" w:rsidRPr="00FC1165" w:rsidRDefault="00840283" w:rsidP="00A14E89">
            <w:pPr>
              <w:spacing w:before="100" w:beforeAutospacing="1" w:after="100" w:afterAutospacing="1"/>
              <w:jc w:val="center"/>
              <w:outlineLvl w:val="3"/>
              <w:rPr>
                <w:rFonts w:eastAsia="Times New Roman" w:cstheme="minorHAnsi"/>
                <w:b/>
                <w:bCs/>
                <w:sz w:val="28"/>
                <w:szCs w:val="28"/>
                <w:lang w:eastAsia="fr-FR"/>
              </w:rPr>
            </w:pPr>
            <w:bookmarkStart w:id="3" w:name="_Hlk155864939"/>
            <w:r>
              <w:rPr>
                <w:rFonts w:eastAsia="Times New Roman" w:cstheme="minorHAnsi"/>
                <w:b/>
                <w:bCs/>
                <w:sz w:val="28"/>
                <w:szCs w:val="28"/>
                <w:lang w:eastAsia="fr-FR"/>
              </w:rPr>
              <w:lastRenderedPageBreak/>
              <w:t>En cas de non-respect des règles de sécurité</w:t>
            </w:r>
            <w:r w:rsidR="00A14E89">
              <w:rPr>
                <w:rFonts w:eastAsia="Times New Roman" w:cstheme="minorHAnsi"/>
                <w:b/>
                <w:bCs/>
                <w:sz w:val="28"/>
                <w:szCs w:val="28"/>
                <w:lang w:eastAsia="fr-FR"/>
              </w:rPr>
              <w:t xml:space="preserve"> </w:t>
            </w:r>
          </w:p>
        </w:tc>
      </w:tr>
      <w:bookmarkEnd w:id="3"/>
    </w:tbl>
    <w:p w14:paraId="5C5CC3F8" w14:textId="77777777" w:rsidR="00235EFE" w:rsidRDefault="00235EFE" w:rsidP="00235EFE">
      <w:pPr>
        <w:spacing w:after="0"/>
        <w:jc w:val="both"/>
        <w:rPr>
          <w:rFonts w:cstheme="minorHAnsi"/>
          <w:b/>
          <w:bCs/>
        </w:rPr>
      </w:pPr>
    </w:p>
    <w:p w14:paraId="67184ECE" w14:textId="77777777" w:rsidR="00235EFE" w:rsidRDefault="00EB72C7" w:rsidP="00235EFE">
      <w:pPr>
        <w:spacing w:after="0"/>
        <w:jc w:val="both"/>
        <w:rPr>
          <w:rFonts w:cstheme="minorHAnsi"/>
        </w:rPr>
      </w:pPr>
      <w:r w:rsidRPr="00EB72C7">
        <w:rPr>
          <w:rFonts w:cstheme="minorHAnsi"/>
        </w:rPr>
        <w:t xml:space="preserve">En cas de manquement aux règles de sécurité, </w:t>
      </w:r>
      <w:r w:rsidR="00192C3D">
        <w:rPr>
          <w:rFonts w:cstheme="minorHAnsi"/>
        </w:rPr>
        <w:t>la collectivité ne doit pas envisager</w:t>
      </w:r>
      <w:r>
        <w:rPr>
          <w:rFonts w:cstheme="minorHAnsi"/>
        </w:rPr>
        <w:t xml:space="preserve"> immédiatement une sanction.</w:t>
      </w:r>
    </w:p>
    <w:p w14:paraId="10D47EBA" w14:textId="6DD6DE3A" w:rsidR="006F4E0A" w:rsidRDefault="00EB72C7" w:rsidP="00235EFE">
      <w:pPr>
        <w:spacing w:after="0"/>
        <w:jc w:val="both"/>
        <w:rPr>
          <w:rFonts w:cstheme="minorHAnsi"/>
        </w:rPr>
      </w:pPr>
      <w:r>
        <w:rPr>
          <w:rFonts w:cstheme="minorHAnsi"/>
        </w:rPr>
        <w:t xml:space="preserve"> </w:t>
      </w:r>
      <w:r w:rsidRPr="00EB72C7">
        <w:rPr>
          <w:rFonts w:cstheme="minorHAnsi"/>
        </w:rPr>
        <w:t xml:space="preserve"> </w:t>
      </w:r>
    </w:p>
    <w:p w14:paraId="4B4EF4B4" w14:textId="54A6E650" w:rsidR="00EB72C7" w:rsidRDefault="00EB72C7" w:rsidP="00235EFE">
      <w:pPr>
        <w:spacing w:after="0"/>
        <w:jc w:val="both"/>
        <w:rPr>
          <w:rFonts w:cstheme="minorHAnsi"/>
        </w:rPr>
      </w:pPr>
      <w:r>
        <w:rPr>
          <w:rFonts w:cstheme="minorHAnsi"/>
        </w:rPr>
        <w:t>Dans</w:t>
      </w:r>
      <w:r w:rsidRPr="00EB72C7">
        <w:rPr>
          <w:rFonts w:cstheme="minorHAnsi"/>
        </w:rPr>
        <w:t xml:space="preserve"> un premier temps</w:t>
      </w:r>
      <w:r>
        <w:rPr>
          <w:rFonts w:cstheme="minorHAnsi"/>
        </w:rPr>
        <w:t xml:space="preserve">, </w:t>
      </w:r>
      <w:r w:rsidR="00192C3D">
        <w:rPr>
          <w:rFonts w:cstheme="minorHAnsi"/>
        </w:rPr>
        <w:t>il est recommandé de privilégier un</w:t>
      </w:r>
      <w:r w:rsidRPr="00EB72C7">
        <w:rPr>
          <w:rFonts w:cstheme="minorHAnsi"/>
        </w:rPr>
        <w:t xml:space="preserve"> dialogue </w:t>
      </w:r>
      <w:r w:rsidR="00192C3D">
        <w:rPr>
          <w:rFonts w:cstheme="minorHAnsi"/>
        </w:rPr>
        <w:t xml:space="preserve">avec l’agent </w:t>
      </w:r>
      <w:r w:rsidRPr="00EB72C7">
        <w:rPr>
          <w:rFonts w:cstheme="minorHAnsi"/>
        </w:rPr>
        <w:t xml:space="preserve">afin de déterminer les raisons du non-respect (par exemple un équipement de protection individuelle mal adapté, l’impossibilité d’effectuer </w:t>
      </w:r>
      <w:r w:rsidR="00FF553B" w:rsidRPr="00EB72C7">
        <w:rPr>
          <w:rFonts w:cstheme="minorHAnsi"/>
        </w:rPr>
        <w:t>une tâche</w:t>
      </w:r>
      <w:r w:rsidRPr="00EB72C7">
        <w:rPr>
          <w:rFonts w:cstheme="minorHAnsi"/>
        </w:rPr>
        <w:t xml:space="preserve"> etc</w:t>
      </w:r>
      <w:r w:rsidR="00FF080D">
        <w:rPr>
          <w:rFonts w:cstheme="minorHAnsi"/>
        </w:rPr>
        <w:t>…</w:t>
      </w:r>
      <w:r w:rsidRPr="00EB72C7">
        <w:rPr>
          <w:rFonts w:cstheme="minorHAnsi"/>
        </w:rPr>
        <w:t>)</w:t>
      </w:r>
    </w:p>
    <w:p w14:paraId="0E8AC2EF" w14:textId="77777777" w:rsidR="00235EFE" w:rsidRDefault="00235EFE" w:rsidP="00235EFE">
      <w:pPr>
        <w:spacing w:after="0"/>
        <w:jc w:val="both"/>
        <w:rPr>
          <w:rFonts w:cstheme="minorHAnsi"/>
        </w:rPr>
      </w:pPr>
    </w:p>
    <w:p w14:paraId="4BAA488E" w14:textId="77777777" w:rsidR="00235EFE" w:rsidRDefault="00192C3D" w:rsidP="00235EFE">
      <w:pPr>
        <w:spacing w:after="0"/>
        <w:jc w:val="both"/>
        <w:rPr>
          <w:rFonts w:cstheme="minorHAnsi"/>
          <w:b/>
          <w:bCs/>
          <w:color w:val="000000" w:themeColor="text1"/>
        </w:rPr>
      </w:pPr>
      <w:r>
        <w:rPr>
          <w:rFonts w:cstheme="minorHAnsi"/>
        </w:rPr>
        <w:t>Dans un second temps et en</w:t>
      </w:r>
      <w:r w:rsidR="00EB72C7">
        <w:rPr>
          <w:rFonts w:cstheme="minorHAnsi"/>
        </w:rPr>
        <w:t xml:space="preserve"> cas de manquement répété</w:t>
      </w:r>
      <w:r>
        <w:rPr>
          <w:rFonts w:cstheme="minorHAnsi"/>
        </w:rPr>
        <w:t xml:space="preserve">, </w:t>
      </w:r>
      <w:r w:rsidRPr="00FF553B">
        <w:rPr>
          <w:rFonts w:cstheme="minorHAnsi"/>
          <w:b/>
          <w:bCs/>
          <w:color w:val="000000" w:themeColor="text1"/>
        </w:rPr>
        <w:t xml:space="preserve">la collectivité rappelle oralement les obligations à l’agent </w:t>
      </w:r>
    </w:p>
    <w:p w14:paraId="1F064B69" w14:textId="7C650CD5" w:rsidR="00192C3D" w:rsidRDefault="00192C3D" w:rsidP="00235EFE">
      <w:pPr>
        <w:spacing w:after="0"/>
        <w:jc w:val="both"/>
        <w:rPr>
          <w:rFonts w:cstheme="minorHAnsi"/>
        </w:rPr>
      </w:pPr>
      <w:r w:rsidRPr="00FF553B">
        <w:rPr>
          <w:rFonts w:cstheme="minorHAnsi"/>
          <w:b/>
          <w:bCs/>
          <w:color w:val="000000" w:themeColor="text1"/>
        </w:rPr>
        <w:t>en conservant une trace écrite. Si ce manquement persiste, un rappel à l’ordre écrit devient alors nécessaire.</w:t>
      </w:r>
      <w:r w:rsidR="00FF080D">
        <w:rPr>
          <w:rFonts w:cstheme="minorHAnsi"/>
        </w:rPr>
        <w:t xml:space="preserve"> </w:t>
      </w:r>
    </w:p>
    <w:p w14:paraId="601E2270" w14:textId="77777777" w:rsidR="00235EFE" w:rsidRDefault="00235EFE" w:rsidP="00235EFE">
      <w:pPr>
        <w:spacing w:after="0"/>
        <w:jc w:val="both"/>
        <w:rPr>
          <w:rFonts w:cstheme="minorHAnsi"/>
        </w:rPr>
      </w:pPr>
    </w:p>
    <w:p w14:paraId="7EFF160E" w14:textId="4B12F013" w:rsidR="00F0691C" w:rsidRDefault="00192C3D" w:rsidP="00235EFE">
      <w:pPr>
        <w:spacing w:after="0"/>
        <w:jc w:val="both"/>
        <w:rPr>
          <w:rFonts w:cstheme="minorHAnsi"/>
        </w:rPr>
      </w:pPr>
      <w:r w:rsidRPr="00FF553B">
        <w:rPr>
          <w:rFonts w:cstheme="minorHAnsi"/>
          <w:b/>
          <w:bCs/>
          <w:color w:val="FF0000"/>
        </w:rPr>
        <w:t>Enfin, la collectivité pourra envisager une sanction si les règles de sécurité continuent à être enfreintes</w:t>
      </w:r>
      <w:r w:rsidR="00FF080D" w:rsidRPr="00FF553B">
        <w:rPr>
          <w:rFonts w:cstheme="minorHAnsi"/>
          <w:b/>
          <w:bCs/>
          <w:color w:val="FF0000"/>
        </w:rPr>
        <w:t xml:space="preserve"> par l’agent</w:t>
      </w:r>
      <w:r w:rsidRPr="00FF553B">
        <w:rPr>
          <w:rFonts w:cstheme="minorHAnsi"/>
          <w:b/>
          <w:bCs/>
          <w:color w:val="FF0000"/>
        </w:rPr>
        <w:t xml:space="preserve">. </w:t>
      </w:r>
      <w:r w:rsidR="00C23149" w:rsidRPr="00F0691C">
        <w:rPr>
          <w:rFonts w:cstheme="minorHAnsi"/>
        </w:rPr>
        <w:t>(Voir modèle de lettre en page n°</w:t>
      </w:r>
      <w:r w:rsidR="00F0691C" w:rsidRPr="00F0691C">
        <w:rPr>
          <w:rFonts w:cstheme="minorHAnsi"/>
        </w:rPr>
        <w:t>5</w:t>
      </w:r>
      <w:r w:rsidR="00C23149" w:rsidRPr="00F0691C">
        <w:rPr>
          <w:rFonts w:cstheme="minorHAnsi"/>
        </w:rPr>
        <w:t>)</w:t>
      </w:r>
    </w:p>
    <w:p w14:paraId="58F6F596" w14:textId="77777777" w:rsidR="00F0691C" w:rsidRPr="00EB72C7" w:rsidRDefault="00F0691C" w:rsidP="00EB72C7">
      <w:pPr>
        <w:jc w:val="both"/>
        <w:rPr>
          <w:rFonts w:cstheme="minorHAnsi"/>
        </w:rPr>
      </w:pPr>
    </w:p>
    <w:tbl>
      <w:tblPr>
        <w:tblStyle w:val="Grilledutableau"/>
        <w:tblpPr w:leftFromText="141" w:rightFromText="141" w:vertAnchor="text" w:horzAnchor="margin" w:tblpY="6"/>
        <w:tblOverlap w:val="never"/>
        <w:tblW w:w="10740" w:type="dxa"/>
        <w:shd w:val="clear" w:color="auto" w:fill="F2F2F2" w:themeFill="background1" w:themeFillShade="F2"/>
        <w:tblLayout w:type="fixed"/>
        <w:tblLook w:val="04A0" w:firstRow="1" w:lastRow="0" w:firstColumn="1" w:lastColumn="0" w:noHBand="0" w:noVBand="1"/>
      </w:tblPr>
      <w:tblGrid>
        <w:gridCol w:w="10740"/>
      </w:tblGrid>
      <w:tr w:rsidR="00F0691C" w14:paraId="01C46CB9" w14:textId="77777777" w:rsidTr="0038792E">
        <w:trPr>
          <w:trHeight w:val="573"/>
        </w:trPr>
        <w:tc>
          <w:tcPr>
            <w:tcW w:w="107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B1EC55" w14:textId="3B264D88" w:rsidR="00F0691C" w:rsidRPr="00FC1165" w:rsidRDefault="00F0691C" w:rsidP="0038792E">
            <w:pPr>
              <w:spacing w:before="100" w:beforeAutospacing="1" w:after="100" w:afterAutospacing="1"/>
              <w:jc w:val="center"/>
              <w:outlineLvl w:val="3"/>
              <w:rPr>
                <w:rFonts w:eastAsia="Times New Roman" w:cstheme="minorHAnsi"/>
                <w:b/>
                <w:bCs/>
                <w:sz w:val="28"/>
                <w:szCs w:val="28"/>
                <w:lang w:eastAsia="fr-FR"/>
              </w:rPr>
            </w:pPr>
            <w:r>
              <w:rPr>
                <w:rFonts w:eastAsia="Times New Roman" w:cstheme="minorHAnsi"/>
                <w:b/>
                <w:bCs/>
                <w:sz w:val="28"/>
                <w:szCs w:val="28"/>
                <w:lang w:eastAsia="fr-FR"/>
              </w:rPr>
              <w:t xml:space="preserve">Jurisprudences </w:t>
            </w:r>
          </w:p>
        </w:tc>
      </w:tr>
    </w:tbl>
    <w:p w14:paraId="26081BD6" w14:textId="77777777" w:rsidR="00FF080D" w:rsidRDefault="00FF080D" w:rsidP="00FF080D">
      <w:pPr>
        <w:spacing w:after="0"/>
        <w:rPr>
          <w:rFonts w:cstheme="minorHAnsi"/>
          <w:b/>
          <w:bCs/>
        </w:rPr>
      </w:pPr>
    </w:p>
    <w:p w14:paraId="5B9FABA5" w14:textId="21696801" w:rsidR="00FF080D" w:rsidRPr="00FF080D" w:rsidRDefault="00465179" w:rsidP="00FF080D">
      <w:pPr>
        <w:spacing w:after="0"/>
        <w:rPr>
          <w:rFonts w:cstheme="minorHAnsi"/>
          <w:b/>
          <w:bCs/>
          <w:color w:val="FF0000"/>
          <w:u w:val="single"/>
        </w:rPr>
      </w:pPr>
      <w:r w:rsidRPr="00FF080D">
        <w:rPr>
          <w:rFonts w:cstheme="minorHAnsi"/>
          <w:b/>
          <w:bCs/>
          <w:color w:val="FF0000"/>
          <w:u w:val="single"/>
        </w:rPr>
        <w:t>C</w:t>
      </w:r>
      <w:r>
        <w:rPr>
          <w:rFonts w:cstheme="minorHAnsi"/>
          <w:b/>
          <w:bCs/>
          <w:color w:val="FF0000"/>
          <w:u w:val="single"/>
        </w:rPr>
        <w:t>our administrative</w:t>
      </w:r>
      <w:r w:rsidR="00FC7C51">
        <w:rPr>
          <w:rFonts w:cstheme="minorHAnsi"/>
          <w:b/>
          <w:bCs/>
          <w:color w:val="FF0000"/>
          <w:u w:val="single"/>
        </w:rPr>
        <w:t xml:space="preserve"> d’appel de</w:t>
      </w:r>
      <w:r w:rsidR="00FF080D" w:rsidRPr="00FF080D">
        <w:rPr>
          <w:rFonts w:cstheme="minorHAnsi"/>
          <w:b/>
          <w:bCs/>
          <w:color w:val="FF0000"/>
          <w:u w:val="single"/>
        </w:rPr>
        <w:t xml:space="preserve"> Nancy</w:t>
      </w:r>
      <w:r w:rsidR="00370163">
        <w:rPr>
          <w:rFonts w:cstheme="minorHAnsi"/>
          <w:b/>
          <w:bCs/>
          <w:color w:val="FF0000"/>
          <w:u w:val="single"/>
        </w:rPr>
        <w:t>,</w:t>
      </w:r>
      <w:r w:rsidR="00FF080D" w:rsidRPr="00FF080D">
        <w:rPr>
          <w:rFonts w:cstheme="minorHAnsi"/>
          <w:b/>
          <w:bCs/>
          <w:color w:val="FF0000"/>
          <w:u w:val="single"/>
        </w:rPr>
        <w:t xml:space="preserve"> 3ème chambre </w:t>
      </w:r>
      <w:r w:rsidR="00370163">
        <w:rPr>
          <w:rFonts w:cstheme="minorHAnsi"/>
          <w:b/>
          <w:bCs/>
          <w:color w:val="FF0000"/>
          <w:u w:val="single"/>
        </w:rPr>
        <w:t xml:space="preserve">- </w:t>
      </w:r>
      <w:r w:rsidR="00FF080D" w:rsidRPr="00FF080D">
        <w:rPr>
          <w:rFonts w:cstheme="minorHAnsi"/>
          <w:b/>
          <w:bCs/>
          <w:color w:val="FF0000"/>
          <w:u w:val="single"/>
        </w:rPr>
        <w:t>20 mars 2014 :</w:t>
      </w:r>
    </w:p>
    <w:p w14:paraId="60BEBF90" w14:textId="364CDC9C" w:rsidR="00C16E54" w:rsidRDefault="00C16E54" w:rsidP="00FF080D">
      <w:pPr>
        <w:spacing w:after="0"/>
        <w:jc w:val="both"/>
        <w:rPr>
          <w:rFonts w:cstheme="minorHAnsi"/>
          <w:b/>
          <w:bCs/>
        </w:rPr>
      </w:pPr>
      <w:r>
        <w:rPr>
          <w:rFonts w:cstheme="minorHAnsi"/>
        </w:rPr>
        <w:t>L</w:t>
      </w:r>
      <w:r w:rsidRPr="0027212E">
        <w:rPr>
          <w:rFonts w:cstheme="minorHAnsi"/>
        </w:rPr>
        <w:t xml:space="preserve">e non-port d’un </w:t>
      </w:r>
      <w:r w:rsidR="00FF080D">
        <w:rPr>
          <w:rFonts w:cstheme="minorHAnsi"/>
        </w:rPr>
        <w:t>équipement de protection individuel (EPI)</w:t>
      </w:r>
      <w:r w:rsidRPr="0027212E">
        <w:rPr>
          <w:rFonts w:cstheme="minorHAnsi"/>
        </w:rPr>
        <w:t xml:space="preserve"> n’est pas actuellement un motif valable de refus d’imputabilité au service d’un accident dans la </w:t>
      </w:r>
      <w:r w:rsidR="0006408D">
        <w:rPr>
          <w:rFonts w:cstheme="minorHAnsi"/>
        </w:rPr>
        <w:t>F</w:t>
      </w:r>
      <w:r w:rsidRPr="0027212E">
        <w:rPr>
          <w:rFonts w:cstheme="minorHAnsi"/>
        </w:rPr>
        <w:t xml:space="preserve">onction </w:t>
      </w:r>
      <w:r w:rsidR="0006408D">
        <w:rPr>
          <w:rFonts w:cstheme="minorHAnsi"/>
        </w:rPr>
        <w:t>P</w:t>
      </w:r>
      <w:r w:rsidRPr="0027212E">
        <w:rPr>
          <w:rFonts w:cstheme="minorHAnsi"/>
        </w:rPr>
        <w:t xml:space="preserve">ublique </w:t>
      </w:r>
      <w:r w:rsidR="0006408D">
        <w:rPr>
          <w:rFonts w:cstheme="minorHAnsi"/>
        </w:rPr>
        <w:t>T</w:t>
      </w:r>
      <w:r w:rsidRPr="0027212E">
        <w:rPr>
          <w:rFonts w:cstheme="minorHAnsi"/>
        </w:rPr>
        <w:t xml:space="preserve">erritoriale. C’est-à-dire que l’agent victime d’un accident </w:t>
      </w:r>
      <w:r w:rsidRPr="00751EA1">
        <w:rPr>
          <w:rFonts w:cstheme="minorHAnsi"/>
          <w:b/>
          <w:bCs/>
        </w:rPr>
        <w:t>ne peut pas se voir refuser la prise en charge</w:t>
      </w:r>
      <w:r w:rsidRPr="0027212E">
        <w:rPr>
          <w:rFonts w:cstheme="minorHAnsi"/>
        </w:rPr>
        <w:t xml:space="preserve"> de sa situation, </w:t>
      </w:r>
      <w:r w:rsidRPr="00751EA1">
        <w:rPr>
          <w:rFonts w:cstheme="minorHAnsi"/>
          <w:b/>
          <w:bCs/>
        </w:rPr>
        <w:t>même s’il ne portait pas les équipements</w:t>
      </w:r>
      <w:r w:rsidRPr="0027212E">
        <w:rPr>
          <w:rFonts w:cstheme="minorHAnsi"/>
        </w:rPr>
        <w:t xml:space="preserve"> prévus par l’employeur, dans la mesure bien sûr où il n’a commis aucune autre faute susceptible de détacher l’accident du service. Cependant, </w:t>
      </w:r>
      <w:r w:rsidRPr="00751EA1">
        <w:rPr>
          <w:rFonts w:cstheme="minorHAnsi"/>
          <w:b/>
          <w:bCs/>
        </w:rPr>
        <w:t>l’agent qui refuse de porter ses EPI</w:t>
      </w:r>
      <w:r w:rsidRPr="0027212E">
        <w:rPr>
          <w:rFonts w:cstheme="minorHAnsi"/>
        </w:rPr>
        <w:t xml:space="preserve"> </w:t>
      </w:r>
      <w:r w:rsidRPr="00751EA1">
        <w:rPr>
          <w:rFonts w:cstheme="minorHAnsi"/>
          <w:b/>
          <w:bCs/>
        </w:rPr>
        <w:t>abandonne le droit de se voir indemnisé</w:t>
      </w:r>
      <w:r w:rsidRPr="0027212E">
        <w:rPr>
          <w:rFonts w:cstheme="minorHAnsi"/>
        </w:rPr>
        <w:t xml:space="preserve"> au titre des dommages et intérêts en cas d’accident</w:t>
      </w:r>
      <w:r w:rsidRPr="00453095">
        <w:rPr>
          <w:rFonts w:cstheme="minorHAnsi"/>
          <w:b/>
          <w:bCs/>
        </w:rPr>
        <w:t xml:space="preserve">. </w:t>
      </w:r>
    </w:p>
    <w:p w14:paraId="7E8BAE43" w14:textId="77777777" w:rsidR="00F0691C" w:rsidRDefault="00F0691C" w:rsidP="00FF080D">
      <w:pPr>
        <w:spacing w:after="0"/>
        <w:jc w:val="both"/>
        <w:rPr>
          <w:rFonts w:cstheme="minorHAnsi"/>
          <w:b/>
          <w:bCs/>
        </w:rPr>
      </w:pPr>
    </w:p>
    <w:p w14:paraId="0E13FEC1" w14:textId="77777777" w:rsidR="00F0691C" w:rsidRDefault="00F0691C" w:rsidP="00F0691C">
      <w:pPr>
        <w:spacing w:after="0"/>
        <w:jc w:val="both"/>
        <w:rPr>
          <w:rFonts w:cstheme="minorHAnsi"/>
          <w:b/>
          <w:bCs/>
          <w:color w:val="FF0000"/>
          <w:u w:val="single"/>
        </w:rPr>
      </w:pPr>
      <w:r w:rsidRPr="00CF760E">
        <w:rPr>
          <w:rFonts w:cstheme="minorHAnsi"/>
          <w:b/>
          <w:bCs/>
          <w:color w:val="FF0000"/>
          <w:u w:val="single"/>
        </w:rPr>
        <w:t xml:space="preserve">Cour de cassation, </w:t>
      </w:r>
      <w:r>
        <w:rPr>
          <w:rFonts w:cstheme="minorHAnsi"/>
          <w:b/>
          <w:bCs/>
          <w:color w:val="FF0000"/>
          <w:u w:val="single"/>
        </w:rPr>
        <w:t>c</w:t>
      </w:r>
      <w:r w:rsidRPr="00CF760E">
        <w:rPr>
          <w:rFonts w:cstheme="minorHAnsi"/>
          <w:b/>
          <w:bCs/>
          <w:color w:val="FF0000"/>
          <w:u w:val="single"/>
        </w:rPr>
        <w:t>hambre sociale, pourvoi n°03-42404</w:t>
      </w:r>
      <w:r>
        <w:rPr>
          <w:rFonts w:cstheme="minorHAnsi"/>
          <w:b/>
          <w:bCs/>
          <w:color w:val="FF0000"/>
          <w:u w:val="single"/>
        </w:rPr>
        <w:t xml:space="preserve"> - </w:t>
      </w:r>
      <w:r w:rsidRPr="00CF760E">
        <w:rPr>
          <w:rFonts w:cstheme="minorHAnsi"/>
          <w:b/>
          <w:bCs/>
          <w:color w:val="FF0000"/>
          <w:u w:val="single"/>
        </w:rPr>
        <w:t>23 mars 2005</w:t>
      </w:r>
      <w:r>
        <w:rPr>
          <w:rFonts w:cstheme="minorHAnsi"/>
          <w:b/>
          <w:bCs/>
          <w:color w:val="FF0000"/>
          <w:u w:val="single"/>
        </w:rPr>
        <w:t> :</w:t>
      </w:r>
    </w:p>
    <w:p w14:paraId="3020D7A7" w14:textId="77777777" w:rsidR="00F0691C" w:rsidRDefault="00F0691C" w:rsidP="00F0691C">
      <w:pPr>
        <w:spacing w:after="0"/>
        <w:jc w:val="both"/>
        <w:rPr>
          <w:rFonts w:cstheme="minorHAnsi"/>
          <w:color w:val="000000" w:themeColor="text1"/>
        </w:rPr>
      </w:pPr>
      <w:r w:rsidRPr="00CF760E">
        <w:rPr>
          <w:rFonts w:cstheme="minorHAnsi"/>
          <w:color w:val="000000" w:themeColor="text1"/>
        </w:rPr>
        <w:t xml:space="preserve">Le non-respect par l’agent de son obligation de sécurité envers lui-même permet aussi la prise de sanction. </w:t>
      </w:r>
      <w:r w:rsidRPr="00F0691C">
        <w:rPr>
          <w:rFonts w:cstheme="minorHAnsi"/>
          <w:b/>
          <w:bCs/>
          <w:color w:val="000000" w:themeColor="text1"/>
        </w:rPr>
        <w:t>Son refus de porter un casque de sécurité ou tout équipement de protection obligatoire constitue ainsi un manquement à son obligation générale de sécurité</w:t>
      </w:r>
      <w:r w:rsidRPr="00CF760E">
        <w:rPr>
          <w:rFonts w:cstheme="minorHAnsi"/>
          <w:color w:val="000000" w:themeColor="text1"/>
        </w:rPr>
        <w:t xml:space="preserve"> lequel justifie un licenciement pour faute grave.</w:t>
      </w:r>
    </w:p>
    <w:p w14:paraId="6C286255" w14:textId="77777777" w:rsidR="000955A2" w:rsidRDefault="000955A2" w:rsidP="00FF080D">
      <w:pPr>
        <w:spacing w:after="0"/>
        <w:jc w:val="both"/>
        <w:rPr>
          <w:rFonts w:cstheme="minorHAnsi"/>
          <w:b/>
          <w:bCs/>
        </w:rPr>
      </w:pPr>
    </w:p>
    <w:p w14:paraId="53DB5020" w14:textId="77777777" w:rsidR="000955A2" w:rsidRDefault="000955A2" w:rsidP="00CF760E">
      <w:pPr>
        <w:spacing w:after="0"/>
        <w:rPr>
          <w:rFonts w:cstheme="minorHAnsi"/>
          <w:b/>
          <w:bCs/>
          <w:color w:val="FF0000"/>
          <w:u w:val="single"/>
        </w:rPr>
      </w:pPr>
      <w:r w:rsidRPr="00370163">
        <w:rPr>
          <w:rFonts w:cstheme="minorHAnsi"/>
          <w:b/>
          <w:bCs/>
          <w:color w:val="FF0000"/>
          <w:u w:val="single"/>
        </w:rPr>
        <w:t>Cour de cassation, chambre sociale, pourvoi n° 00-41.220 - 28 février 2002 :</w:t>
      </w:r>
    </w:p>
    <w:p w14:paraId="1F9DAD39" w14:textId="597E2F0C" w:rsidR="000955A2" w:rsidRDefault="00CF760E" w:rsidP="00CF760E">
      <w:pPr>
        <w:spacing w:after="0"/>
        <w:jc w:val="both"/>
        <w:rPr>
          <w:rFonts w:cstheme="minorHAnsi"/>
          <w:color w:val="000000" w:themeColor="text1"/>
        </w:rPr>
      </w:pPr>
      <w:r>
        <w:rPr>
          <w:rFonts w:cstheme="minorHAnsi"/>
          <w:color w:val="000000" w:themeColor="text1"/>
        </w:rPr>
        <w:t>Le manquement à</w:t>
      </w:r>
      <w:r w:rsidR="000955A2">
        <w:rPr>
          <w:rFonts w:cstheme="minorHAnsi"/>
          <w:color w:val="000000" w:themeColor="text1"/>
        </w:rPr>
        <w:t xml:space="preserve"> </w:t>
      </w:r>
      <w:r w:rsidR="000955A2" w:rsidRPr="001622C2">
        <w:rPr>
          <w:rFonts w:cstheme="minorHAnsi"/>
          <w:b/>
          <w:bCs/>
          <w:color w:val="000000" w:themeColor="text1"/>
        </w:rPr>
        <w:t>l’obligation de sécurité</w:t>
      </w:r>
      <w:r>
        <w:rPr>
          <w:rFonts w:cstheme="minorHAnsi"/>
          <w:b/>
          <w:bCs/>
          <w:color w:val="000000" w:themeColor="text1"/>
        </w:rPr>
        <w:t xml:space="preserve"> est</w:t>
      </w:r>
      <w:r w:rsidR="000955A2" w:rsidRPr="001622C2">
        <w:rPr>
          <w:rFonts w:cstheme="minorHAnsi"/>
          <w:b/>
          <w:bCs/>
          <w:color w:val="000000" w:themeColor="text1"/>
        </w:rPr>
        <w:t xml:space="preserve"> </w:t>
      </w:r>
      <w:r>
        <w:rPr>
          <w:rFonts w:cstheme="minorHAnsi"/>
          <w:b/>
          <w:bCs/>
          <w:color w:val="000000" w:themeColor="text1"/>
        </w:rPr>
        <w:t>une</w:t>
      </w:r>
      <w:r w:rsidR="000955A2" w:rsidRPr="001622C2">
        <w:rPr>
          <w:rFonts w:cstheme="minorHAnsi"/>
          <w:b/>
          <w:bCs/>
          <w:color w:val="000000" w:themeColor="text1"/>
        </w:rPr>
        <w:t xml:space="preserve"> violation constitutive d'une faute dont la gravité dépend de la formation et des possibilités du salarié</w:t>
      </w:r>
      <w:r w:rsidR="000955A2" w:rsidRPr="001622C2">
        <w:rPr>
          <w:rFonts w:cstheme="minorHAnsi"/>
          <w:color w:val="000000" w:themeColor="text1"/>
        </w:rPr>
        <w:t>.</w:t>
      </w:r>
      <w:r w:rsidR="000955A2">
        <w:rPr>
          <w:rFonts w:cstheme="minorHAnsi"/>
          <w:color w:val="000000" w:themeColor="text1"/>
        </w:rPr>
        <w:t xml:space="preserve">  </w:t>
      </w:r>
      <w:r w:rsidR="000955A2" w:rsidRPr="001622C2">
        <w:rPr>
          <w:rFonts w:cstheme="minorHAnsi"/>
          <w:color w:val="000000" w:themeColor="text1"/>
        </w:rPr>
        <w:t>En l'espèce, il s'agissait de deux salariés ayant trouvé la mort lors du démontage d'une</w:t>
      </w:r>
      <w:r w:rsidR="000955A2">
        <w:rPr>
          <w:rFonts w:cstheme="minorHAnsi"/>
          <w:color w:val="000000" w:themeColor="text1"/>
        </w:rPr>
        <w:t xml:space="preserve"> </w:t>
      </w:r>
      <w:r w:rsidR="000955A2" w:rsidRPr="001622C2">
        <w:rPr>
          <w:rFonts w:cstheme="minorHAnsi"/>
          <w:color w:val="000000" w:themeColor="text1"/>
        </w:rPr>
        <w:t xml:space="preserve">conduite d'eau. La </w:t>
      </w:r>
      <w:r w:rsidR="002D20CB">
        <w:rPr>
          <w:rFonts w:cstheme="minorHAnsi"/>
          <w:color w:val="000000" w:themeColor="text1"/>
        </w:rPr>
        <w:t>C</w:t>
      </w:r>
      <w:r w:rsidR="000955A2" w:rsidRPr="001622C2">
        <w:rPr>
          <w:rFonts w:cstheme="minorHAnsi"/>
          <w:color w:val="000000" w:themeColor="text1"/>
        </w:rPr>
        <w:t>our d'</w:t>
      </w:r>
      <w:r w:rsidR="002D20CB">
        <w:rPr>
          <w:rFonts w:cstheme="minorHAnsi"/>
          <w:color w:val="000000" w:themeColor="text1"/>
        </w:rPr>
        <w:t>A</w:t>
      </w:r>
      <w:r w:rsidR="000955A2" w:rsidRPr="001622C2">
        <w:rPr>
          <w:rFonts w:cstheme="minorHAnsi"/>
          <w:color w:val="000000" w:themeColor="text1"/>
        </w:rPr>
        <w:t xml:space="preserve">ppel a </w:t>
      </w:r>
      <w:r w:rsidR="00E166B6">
        <w:rPr>
          <w:rFonts w:cstheme="minorHAnsi"/>
          <w:color w:val="000000" w:themeColor="text1"/>
        </w:rPr>
        <w:t xml:space="preserve">confirmé </w:t>
      </w:r>
      <w:r w:rsidR="000955A2" w:rsidRPr="001622C2">
        <w:rPr>
          <w:rFonts w:cstheme="minorHAnsi"/>
          <w:color w:val="000000" w:themeColor="text1"/>
        </w:rPr>
        <w:t>que le responsable du service</w:t>
      </w:r>
      <w:r w:rsidR="000955A2">
        <w:rPr>
          <w:rFonts w:cstheme="minorHAnsi"/>
          <w:color w:val="000000" w:themeColor="text1"/>
        </w:rPr>
        <w:t xml:space="preserve"> </w:t>
      </w:r>
      <w:r w:rsidR="000955A2" w:rsidRPr="001622C2">
        <w:rPr>
          <w:rFonts w:cstheme="minorHAnsi"/>
          <w:color w:val="000000" w:themeColor="text1"/>
        </w:rPr>
        <w:t>d'entretien</w:t>
      </w:r>
      <w:r w:rsidR="00E166B6">
        <w:rPr>
          <w:rFonts w:cstheme="minorHAnsi"/>
          <w:color w:val="000000" w:themeColor="text1"/>
        </w:rPr>
        <w:t xml:space="preserve"> avait été licencié suite à</w:t>
      </w:r>
      <w:r w:rsidR="000955A2" w:rsidRPr="001622C2">
        <w:rPr>
          <w:rFonts w:cstheme="minorHAnsi"/>
          <w:color w:val="000000" w:themeColor="text1"/>
        </w:rPr>
        <w:t xml:space="preserve"> une faute grave. </w:t>
      </w:r>
      <w:r w:rsidR="000955A2">
        <w:rPr>
          <w:rFonts w:cstheme="minorHAnsi"/>
          <w:color w:val="000000" w:themeColor="text1"/>
        </w:rPr>
        <w:t>C</w:t>
      </w:r>
      <w:r w:rsidR="000955A2" w:rsidRPr="001622C2">
        <w:rPr>
          <w:rFonts w:cstheme="minorHAnsi"/>
          <w:color w:val="000000" w:themeColor="text1"/>
        </w:rPr>
        <w:t>e</w:t>
      </w:r>
      <w:r w:rsidR="000955A2">
        <w:rPr>
          <w:rFonts w:cstheme="minorHAnsi"/>
          <w:color w:val="000000" w:themeColor="text1"/>
        </w:rPr>
        <w:t xml:space="preserve"> </w:t>
      </w:r>
      <w:r w:rsidR="000955A2" w:rsidRPr="001622C2">
        <w:rPr>
          <w:rFonts w:cstheme="minorHAnsi"/>
          <w:color w:val="000000" w:themeColor="text1"/>
        </w:rPr>
        <w:t>responsable n'avait pas correctement établi le plan de prévention lors de l'intervention de la</w:t>
      </w:r>
      <w:r w:rsidR="000955A2">
        <w:rPr>
          <w:rFonts w:cstheme="minorHAnsi"/>
          <w:color w:val="000000" w:themeColor="text1"/>
        </w:rPr>
        <w:t xml:space="preserve"> </w:t>
      </w:r>
      <w:r w:rsidR="000955A2" w:rsidRPr="001622C2">
        <w:rPr>
          <w:rFonts w:cstheme="minorHAnsi"/>
          <w:color w:val="000000" w:themeColor="text1"/>
        </w:rPr>
        <w:t>société chargée du remplacement de la tuyauterie, de même qu'il n</w:t>
      </w:r>
      <w:r w:rsidR="00E166B6">
        <w:rPr>
          <w:rFonts w:cstheme="minorHAnsi"/>
          <w:color w:val="000000" w:themeColor="text1"/>
        </w:rPr>
        <w:t>’</w:t>
      </w:r>
      <w:r w:rsidR="000955A2" w:rsidRPr="001622C2">
        <w:rPr>
          <w:rFonts w:cstheme="minorHAnsi"/>
          <w:color w:val="000000" w:themeColor="text1"/>
        </w:rPr>
        <w:t>avait pas averti des</w:t>
      </w:r>
      <w:r w:rsidR="000955A2">
        <w:rPr>
          <w:rFonts w:cstheme="minorHAnsi"/>
          <w:color w:val="000000" w:themeColor="text1"/>
        </w:rPr>
        <w:t xml:space="preserve"> </w:t>
      </w:r>
      <w:r w:rsidR="000955A2" w:rsidRPr="001622C2">
        <w:rPr>
          <w:rFonts w:cstheme="minorHAnsi"/>
          <w:color w:val="000000" w:themeColor="text1"/>
        </w:rPr>
        <w:t>dangers liés à cette opération. Pourtant, l'intéressé connaissait les risques encourus et, plus</w:t>
      </w:r>
      <w:r w:rsidR="000955A2">
        <w:rPr>
          <w:rFonts w:cstheme="minorHAnsi"/>
          <w:color w:val="000000" w:themeColor="text1"/>
        </w:rPr>
        <w:t xml:space="preserve"> </w:t>
      </w:r>
      <w:r w:rsidR="000955A2" w:rsidRPr="001622C2">
        <w:rPr>
          <w:rFonts w:cstheme="minorHAnsi"/>
          <w:color w:val="000000" w:themeColor="text1"/>
        </w:rPr>
        <w:t>précisément, les particularités du dispositif à l'origine de l'accident.</w:t>
      </w:r>
      <w:r w:rsidR="00E166B6">
        <w:rPr>
          <w:rFonts w:cstheme="minorHAnsi"/>
          <w:color w:val="000000" w:themeColor="text1"/>
        </w:rPr>
        <w:t xml:space="preserve"> </w:t>
      </w:r>
    </w:p>
    <w:p w14:paraId="08DCE15E" w14:textId="77777777" w:rsidR="00CF760E" w:rsidRDefault="00CF760E" w:rsidP="00CF760E">
      <w:pPr>
        <w:spacing w:after="0"/>
        <w:jc w:val="both"/>
        <w:rPr>
          <w:rFonts w:cstheme="minorHAnsi"/>
          <w:color w:val="000000" w:themeColor="text1"/>
        </w:rPr>
      </w:pPr>
    </w:p>
    <w:p w14:paraId="18FB4FA7" w14:textId="77777777" w:rsidR="000073F8" w:rsidRDefault="000073F8" w:rsidP="00F0691C">
      <w:pPr>
        <w:spacing w:after="0" w:line="240" w:lineRule="auto"/>
        <w:ind w:right="-2"/>
        <w:rPr>
          <w:rFonts w:cstheme="minorHAnsi"/>
          <w:color w:val="000000" w:themeColor="text1"/>
        </w:rPr>
      </w:pPr>
    </w:p>
    <w:p w14:paraId="30D4A585" w14:textId="77777777" w:rsidR="00F0691C" w:rsidRDefault="00F0691C" w:rsidP="00F0691C">
      <w:pPr>
        <w:spacing w:after="0" w:line="240" w:lineRule="auto"/>
        <w:ind w:right="-2"/>
        <w:rPr>
          <w:rFonts w:cstheme="minorHAnsi"/>
          <w:color w:val="000000" w:themeColor="text1"/>
        </w:rPr>
      </w:pPr>
    </w:p>
    <w:p w14:paraId="5FC6514A" w14:textId="77777777" w:rsidR="00F0691C" w:rsidRDefault="00F0691C" w:rsidP="00F0691C">
      <w:pPr>
        <w:spacing w:after="0" w:line="240" w:lineRule="auto"/>
        <w:ind w:right="-2"/>
        <w:rPr>
          <w:rFonts w:cstheme="minorHAnsi"/>
          <w:color w:val="000000" w:themeColor="text1"/>
        </w:rPr>
      </w:pPr>
    </w:p>
    <w:tbl>
      <w:tblPr>
        <w:tblStyle w:val="Grilledutableau"/>
        <w:tblpPr w:leftFromText="141" w:rightFromText="141" w:vertAnchor="text" w:horzAnchor="margin" w:tblpY="6"/>
        <w:tblOverlap w:val="never"/>
        <w:tblW w:w="10740" w:type="dxa"/>
        <w:shd w:val="clear" w:color="auto" w:fill="F2F2F2" w:themeFill="background1" w:themeFillShade="F2"/>
        <w:tblLayout w:type="fixed"/>
        <w:tblLook w:val="04A0" w:firstRow="1" w:lastRow="0" w:firstColumn="1" w:lastColumn="0" w:noHBand="0" w:noVBand="1"/>
      </w:tblPr>
      <w:tblGrid>
        <w:gridCol w:w="10740"/>
      </w:tblGrid>
      <w:tr w:rsidR="00F0691C" w14:paraId="7D15E536" w14:textId="77777777" w:rsidTr="0038792E">
        <w:trPr>
          <w:trHeight w:val="573"/>
        </w:trPr>
        <w:tc>
          <w:tcPr>
            <w:tcW w:w="107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43269E8" w14:textId="3B40A18D" w:rsidR="00F0691C" w:rsidRPr="00FC1165" w:rsidRDefault="00F0691C" w:rsidP="0038792E">
            <w:pPr>
              <w:spacing w:before="100" w:beforeAutospacing="1" w:after="100" w:afterAutospacing="1"/>
              <w:jc w:val="center"/>
              <w:outlineLvl w:val="3"/>
              <w:rPr>
                <w:rFonts w:eastAsia="Times New Roman" w:cstheme="minorHAnsi"/>
                <w:b/>
                <w:bCs/>
                <w:sz w:val="28"/>
                <w:szCs w:val="28"/>
                <w:lang w:eastAsia="fr-FR"/>
              </w:rPr>
            </w:pPr>
            <w:r>
              <w:rPr>
                <w:rFonts w:eastAsia="Times New Roman" w:cstheme="minorHAnsi"/>
                <w:b/>
                <w:bCs/>
                <w:sz w:val="28"/>
                <w:szCs w:val="28"/>
                <w:lang w:eastAsia="fr-FR"/>
              </w:rPr>
              <w:lastRenderedPageBreak/>
              <w:t xml:space="preserve">Modèle de lettre </w:t>
            </w:r>
            <w:r w:rsidR="003C54ED">
              <w:rPr>
                <w:rFonts w:eastAsia="Times New Roman" w:cstheme="minorHAnsi"/>
                <w:b/>
                <w:bCs/>
                <w:sz w:val="28"/>
                <w:szCs w:val="28"/>
                <w:lang w:eastAsia="fr-FR"/>
              </w:rPr>
              <w:t>– Avertissement suite à un m</w:t>
            </w:r>
            <w:r>
              <w:rPr>
                <w:rFonts w:eastAsia="Times New Roman" w:cstheme="minorHAnsi"/>
                <w:b/>
                <w:bCs/>
                <w:sz w:val="28"/>
                <w:szCs w:val="28"/>
                <w:lang w:eastAsia="fr-FR"/>
              </w:rPr>
              <w:t>anquement aux règles de sécurité</w:t>
            </w:r>
          </w:p>
        </w:tc>
      </w:tr>
    </w:tbl>
    <w:p w14:paraId="37BCF09A" w14:textId="77777777" w:rsidR="00F0691C" w:rsidRDefault="00F0691C" w:rsidP="00F0691C">
      <w:pPr>
        <w:spacing w:after="0" w:line="240" w:lineRule="auto"/>
        <w:ind w:right="-2"/>
        <w:rPr>
          <w:rFonts w:eastAsia="Times New Roman" w:cstheme="minorHAnsi"/>
          <w:i/>
          <w:lang w:eastAsia="fr-FR"/>
        </w:rPr>
      </w:pPr>
    </w:p>
    <w:p w14:paraId="05A44BD9" w14:textId="528CD3C5" w:rsidR="008501D0" w:rsidRPr="0034428C" w:rsidRDefault="008501D0" w:rsidP="00C16E54">
      <w:pPr>
        <w:spacing w:after="0" w:line="240" w:lineRule="auto"/>
        <w:ind w:right="-2"/>
        <w:rPr>
          <w:rFonts w:eastAsia="Times New Roman" w:cstheme="minorHAnsi"/>
          <w:i/>
          <w:lang w:eastAsia="fr-FR"/>
        </w:rPr>
      </w:pPr>
      <w:r w:rsidRPr="0034428C">
        <w:rPr>
          <w:rFonts w:eastAsia="Times New Roman" w:cstheme="minorHAnsi"/>
          <w:i/>
          <w:lang w:eastAsia="fr-FR"/>
        </w:rPr>
        <w:t>(</w:t>
      </w:r>
      <w:r w:rsidR="00C16E54" w:rsidRPr="0034428C">
        <w:rPr>
          <w:rFonts w:eastAsia="Times New Roman" w:cstheme="minorHAnsi"/>
          <w:i/>
          <w:lang w:eastAsia="fr-FR"/>
        </w:rPr>
        <w:t>Sur</w:t>
      </w:r>
      <w:r w:rsidRPr="0034428C">
        <w:rPr>
          <w:rFonts w:eastAsia="Times New Roman" w:cstheme="minorHAnsi"/>
          <w:i/>
          <w:lang w:eastAsia="fr-FR"/>
        </w:rPr>
        <w:t xml:space="preserve"> papier à en-tête de </w:t>
      </w:r>
      <w:r w:rsidR="00A50B56">
        <w:rPr>
          <w:rFonts w:eastAsia="Times New Roman" w:cstheme="minorHAnsi"/>
          <w:i/>
          <w:lang w:eastAsia="fr-FR"/>
        </w:rPr>
        <w:t>la collectivité</w:t>
      </w:r>
      <w:r w:rsidRPr="0034428C">
        <w:rPr>
          <w:rFonts w:eastAsia="Times New Roman" w:cstheme="minorHAnsi"/>
          <w:i/>
          <w:lang w:eastAsia="fr-FR"/>
        </w:rPr>
        <w:t>)</w:t>
      </w:r>
    </w:p>
    <w:p w14:paraId="0AFE858C" w14:textId="77777777" w:rsidR="008501D0" w:rsidRPr="0034428C" w:rsidRDefault="008501D0" w:rsidP="008501D0">
      <w:pPr>
        <w:autoSpaceDE w:val="0"/>
        <w:autoSpaceDN w:val="0"/>
        <w:spacing w:after="0" w:line="240" w:lineRule="auto"/>
        <w:ind w:right="-1"/>
        <w:rPr>
          <w:rFonts w:eastAsia="Times New Roman" w:cstheme="minorHAnsi"/>
          <w:lang w:eastAsia="fr-FR"/>
        </w:rPr>
      </w:pPr>
    </w:p>
    <w:p w14:paraId="61560ACC" w14:textId="77777777" w:rsidR="008501D0" w:rsidRPr="0034428C" w:rsidRDefault="008501D0" w:rsidP="008501D0">
      <w:pPr>
        <w:autoSpaceDE w:val="0"/>
        <w:autoSpaceDN w:val="0"/>
        <w:spacing w:after="0" w:line="240" w:lineRule="auto"/>
        <w:rPr>
          <w:rFonts w:eastAsia="Times New Roman" w:cstheme="minorHAnsi"/>
          <w:lang w:eastAsia="fr-FR"/>
        </w:rPr>
      </w:pPr>
    </w:p>
    <w:p w14:paraId="3CE92421" w14:textId="77777777" w:rsidR="008501D0" w:rsidRPr="0034428C" w:rsidRDefault="008501D0" w:rsidP="008501D0">
      <w:pPr>
        <w:spacing w:after="0" w:line="240" w:lineRule="auto"/>
        <w:ind w:left="5670"/>
        <w:rPr>
          <w:rFonts w:eastAsia="Times New Roman" w:cstheme="minorHAnsi"/>
          <w:color w:val="000000"/>
          <w:lang w:eastAsia="fr-FR"/>
        </w:rPr>
      </w:pPr>
      <w:r w:rsidRPr="0034428C">
        <w:rPr>
          <w:rFonts w:eastAsia="Times New Roman" w:cstheme="minorHAnsi"/>
          <w:color w:val="000000"/>
          <w:lang w:eastAsia="fr-FR"/>
        </w:rPr>
        <w:t>Nom de l’agent</w:t>
      </w:r>
    </w:p>
    <w:p w14:paraId="571BCEAB" w14:textId="77777777" w:rsidR="008501D0" w:rsidRPr="0034428C" w:rsidRDefault="008501D0" w:rsidP="008501D0">
      <w:pPr>
        <w:spacing w:after="0" w:line="240" w:lineRule="auto"/>
        <w:ind w:left="5670"/>
        <w:rPr>
          <w:rFonts w:eastAsia="Times New Roman" w:cstheme="minorHAnsi"/>
          <w:color w:val="000000"/>
          <w:lang w:eastAsia="fr-FR"/>
        </w:rPr>
      </w:pPr>
      <w:r w:rsidRPr="0034428C">
        <w:rPr>
          <w:rFonts w:eastAsia="Times New Roman" w:cstheme="minorHAnsi"/>
          <w:color w:val="000000"/>
          <w:lang w:eastAsia="fr-FR"/>
        </w:rPr>
        <w:t>Adresse</w:t>
      </w:r>
    </w:p>
    <w:p w14:paraId="60D4574D" w14:textId="77777777" w:rsidR="008501D0" w:rsidRPr="0034428C" w:rsidRDefault="008501D0" w:rsidP="008501D0">
      <w:pPr>
        <w:spacing w:after="0" w:line="240" w:lineRule="auto"/>
        <w:ind w:left="5670"/>
        <w:rPr>
          <w:rFonts w:eastAsia="Times New Roman" w:cstheme="minorHAnsi"/>
          <w:strike/>
          <w:color w:val="FF0000"/>
          <w:lang w:eastAsia="fr-FR"/>
        </w:rPr>
      </w:pPr>
    </w:p>
    <w:p w14:paraId="4D26155D" w14:textId="77777777" w:rsidR="008501D0" w:rsidRPr="0034428C" w:rsidRDefault="008501D0" w:rsidP="008501D0">
      <w:pPr>
        <w:spacing w:after="0" w:line="240" w:lineRule="auto"/>
        <w:ind w:left="5670"/>
        <w:rPr>
          <w:rFonts w:eastAsia="Times New Roman" w:cstheme="minorHAnsi"/>
          <w:i/>
          <w:lang w:eastAsia="fr-FR"/>
        </w:rPr>
      </w:pPr>
      <w:r w:rsidRPr="0034428C">
        <w:rPr>
          <w:rFonts w:eastAsia="Times New Roman" w:cstheme="minorHAnsi"/>
          <w:lang w:eastAsia="fr-FR"/>
        </w:rPr>
        <w:t>À</w:t>
      </w:r>
      <w:r w:rsidRPr="0034428C">
        <w:rPr>
          <w:rFonts w:eastAsia="Times New Roman" w:cstheme="minorHAnsi"/>
          <w:i/>
          <w:lang w:eastAsia="fr-FR"/>
        </w:rPr>
        <w:t xml:space="preserve"> ...... </w:t>
      </w:r>
      <w:r w:rsidRPr="0034428C">
        <w:rPr>
          <w:rFonts w:eastAsia="Times New Roman" w:cstheme="minorHAnsi"/>
          <w:i/>
          <w:iCs/>
          <w:lang w:eastAsia="fr-FR"/>
        </w:rPr>
        <w:t>(lieu)</w:t>
      </w:r>
      <w:r w:rsidRPr="0034428C">
        <w:rPr>
          <w:rFonts w:eastAsia="Times New Roman" w:cstheme="minorHAnsi"/>
          <w:lang w:eastAsia="fr-FR"/>
        </w:rPr>
        <w:t xml:space="preserve">, le ...... </w:t>
      </w:r>
      <w:r w:rsidRPr="0034428C">
        <w:rPr>
          <w:rFonts w:eastAsia="Times New Roman" w:cstheme="minorHAnsi"/>
          <w:i/>
          <w:iCs/>
          <w:lang w:eastAsia="fr-FR"/>
        </w:rPr>
        <w:t>(date)</w:t>
      </w:r>
    </w:p>
    <w:p w14:paraId="490E7C4F" w14:textId="77777777" w:rsidR="008501D0" w:rsidRPr="0034428C" w:rsidRDefault="008501D0" w:rsidP="008501D0">
      <w:pPr>
        <w:autoSpaceDE w:val="0"/>
        <w:autoSpaceDN w:val="0"/>
        <w:spacing w:after="0" w:line="240" w:lineRule="auto"/>
        <w:ind w:right="-1"/>
        <w:rPr>
          <w:rFonts w:eastAsia="Times New Roman" w:cstheme="minorHAnsi"/>
          <w:lang w:eastAsia="fr-FR"/>
        </w:rPr>
      </w:pPr>
    </w:p>
    <w:p w14:paraId="4BC3AF47" w14:textId="77777777" w:rsidR="008501D0" w:rsidRPr="0034428C" w:rsidRDefault="008501D0" w:rsidP="008501D0">
      <w:pPr>
        <w:autoSpaceDE w:val="0"/>
        <w:autoSpaceDN w:val="0"/>
        <w:spacing w:after="0" w:line="240" w:lineRule="auto"/>
        <w:ind w:right="-1"/>
        <w:rPr>
          <w:rFonts w:eastAsia="Times New Roman" w:cstheme="minorHAnsi"/>
          <w:lang w:eastAsia="fr-FR"/>
        </w:rPr>
      </w:pPr>
    </w:p>
    <w:p w14:paraId="2D2802B2" w14:textId="77777777" w:rsidR="008501D0" w:rsidRPr="0034428C" w:rsidRDefault="008501D0" w:rsidP="008501D0">
      <w:pPr>
        <w:tabs>
          <w:tab w:val="left" w:pos="5670"/>
        </w:tabs>
        <w:spacing w:after="0" w:line="240" w:lineRule="auto"/>
        <w:ind w:right="-2"/>
        <w:jc w:val="both"/>
        <w:rPr>
          <w:rFonts w:eastAsia="Times New Roman" w:cstheme="minorHAnsi"/>
          <w:b/>
          <w:lang w:eastAsia="fr-FR"/>
        </w:rPr>
      </w:pPr>
      <w:r w:rsidRPr="0034428C">
        <w:rPr>
          <w:rFonts w:eastAsia="Times New Roman" w:cstheme="minorHAnsi"/>
          <w:b/>
          <w:lang w:eastAsia="fr-FR"/>
        </w:rPr>
        <w:t xml:space="preserve">Lettre recommandée avec accusé de réception n° …… </w:t>
      </w:r>
    </w:p>
    <w:p w14:paraId="72FC4093" w14:textId="77777777" w:rsidR="008501D0" w:rsidRPr="0034428C" w:rsidRDefault="008501D0" w:rsidP="008501D0">
      <w:pPr>
        <w:tabs>
          <w:tab w:val="left" w:pos="5670"/>
        </w:tabs>
        <w:spacing w:after="0" w:line="240" w:lineRule="auto"/>
        <w:ind w:right="-2"/>
        <w:jc w:val="both"/>
        <w:rPr>
          <w:rFonts w:eastAsia="Times New Roman" w:cstheme="minorHAnsi"/>
          <w:b/>
          <w:lang w:eastAsia="fr-FR"/>
        </w:rPr>
      </w:pPr>
      <w:r w:rsidRPr="0034428C">
        <w:rPr>
          <w:rFonts w:eastAsia="Times New Roman" w:cstheme="minorHAnsi"/>
          <w:b/>
          <w:lang w:eastAsia="fr-FR"/>
        </w:rPr>
        <w:t>(</w:t>
      </w:r>
      <w:r w:rsidRPr="0034428C">
        <w:rPr>
          <w:rFonts w:eastAsia="Times New Roman" w:cstheme="minorHAnsi"/>
          <w:b/>
          <w:i/>
          <w:lang w:eastAsia="fr-FR"/>
        </w:rPr>
        <w:t>ou :</w:t>
      </w:r>
      <w:r w:rsidRPr="0034428C">
        <w:rPr>
          <w:rFonts w:eastAsia="Times New Roman" w:cstheme="minorHAnsi"/>
          <w:b/>
          <w:lang w:eastAsia="fr-FR"/>
        </w:rPr>
        <w:t xml:space="preserve"> Lettre remise en main propre contre décharge</w:t>
      </w:r>
      <w:r w:rsidRPr="0034428C">
        <w:rPr>
          <w:rFonts w:eastAsia="Times New Roman" w:cstheme="minorHAnsi"/>
          <w:b/>
          <w:i/>
          <w:lang w:eastAsia="fr-FR"/>
        </w:rPr>
        <w:t>)</w:t>
      </w:r>
    </w:p>
    <w:p w14:paraId="52464668" w14:textId="77777777" w:rsidR="008501D0" w:rsidRPr="0034428C" w:rsidRDefault="008501D0" w:rsidP="008501D0">
      <w:pPr>
        <w:keepNext/>
        <w:autoSpaceDE w:val="0"/>
        <w:autoSpaceDN w:val="0"/>
        <w:spacing w:after="0" w:line="240" w:lineRule="auto"/>
        <w:ind w:right="-1"/>
        <w:jc w:val="both"/>
        <w:outlineLvl w:val="5"/>
        <w:rPr>
          <w:rFonts w:eastAsia="Times New Roman" w:cstheme="minorHAnsi"/>
          <w:lang w:eastAsia="fr-FR"/>
        </w:rPr>
      </w:pPr>
    </w:p>
    <w:p w14:paraId="6D07D91F" w14:textId="77777777" w:rsidR="008501D0" w:rsidRPr="0034428C" w:rsidRDefault="008501D0" w:rsidP="008501D0">
      <w:pPr>
        <w:spacing w:after="0" w:line="240" w:lineRule="auto"/>
        <w:ind w:right="-2"/>
        <w:jc w:val="both"/>
        <w:rPr>
          <w:rFonts w:eastAsia="Times New Roman" w:cstheme="minorHAnsi"/>
          <w:bCs/>
          <w:lang w:eastAsia="fr-FR"/>
        </w:rPr>
      </w:pPr>
      <w:r w:rsidRPr="0034428C">
        <w:rPr>
          <w:rFonts w:eastAsia="Times New Roman" w:cstheme="minorHAnsi"/>
          <w:bCs/>
          <w:u w:val="single"/>
          <w:lang w:eastAsia="fr-FR"/>
        </w:rPr>
        <w:t>Objet</w:t>
      </w:r>
      <w:r w:rsidRPr="0034428C">
        <w:rPr>
          <w:rFonts w:eastAsia="Times New Roman" w:cstheme="minorHAnsi"/>
          <w:bCs/>
          <w:lang w:eastAsia="fr-FR"/>
        </w:rPr>
        <w:t> : Avertissement</w:t>
      </w:r>
    </w:p>
    <w:p w14:paraId="61217631" w14:textId="77777777" w:rsidR="008501D0" w:rsidRPr="0034428C" w:rsidRDefault="008501D0" w:rsidP="008501D0">
      <w:pPr>
        <w:tabs>
          <w:tab w:val="left" w:pos="5670"/>
        </w:tabs>
        <w:autoSpaceDE w:val="0"/>
        <w:autoSpaceDN w:val="0"/>
        <w:spacing w:after="0" w:line="240" w:lineRule="auto"/>
        <w:ind w:right="-1"/>
        <w:rPr>
          <w:rFonts w:eastAsia="Times New Roman" w:cstheme="minorHAnsi"/>
          <w:lang w:eastAsia="fr-FR"/>
        </w:rPr>
      </w:pPr>
    </w:p>
    <w:p w14:paraId="5BC0206C" w14:textId="77777777" w:rsidR="008501D0" w:rsidRPr="0034428C" w:rsidRDefault="008501D0" w:rsidP="008501D0">
      <w:pPr>
        <w:autoSpaceDE w:val="0"/>
        <w:autoSpaceDN w:val="0"/>
        <w:spacing w:after="0" w:line="240" w:lineRule="auto"/>
        <w:ind w:right="-1"/>
        <w:rPr>
          <w:rFonts w:eastAsia="Times New Roman" w:cstheme="minorHAnsi"/>
          <w:lang w:eastAsia="fr-FR"/>
        </w:rPr>
      </w:pPr>
    </w:p>
    <w:p w14:paraId="74A8BB47" w14:textId="77777777" w:rsidR="008501D0" w:rsidRPr="0034428C" w:rsidRDefault="008501D0" w:rsidP="008501D0">
      <w:pPr>
        <w:spacing w:after="0" w:line="240" w:lineRule="auto"/>
        <w:jc w:val="both"/>
        <w:rPr>
          <w:rFonts w:eastAsia="Times New Roman" w:cstheme="minorHAnsi"/>
          <w:lang w:eastAsia="fr-FR"/>
        </w:rPr>
      </w:pPr>
      <w:r w:rsidRPr="0034428C">
        <w:rPr>
          <w:rFonts w:eastAsia="Times New Roman" w:cstheme="minorHAnsi"/>
          <w:lang w:eastAsia="fr-FR"/>
        </w:rPr>
        <w:t>M</w:t>
      </w:r>
      <w:r w:rsidRPr="0034428C">
        <w:rPr>
          <w:rFonts w:eastAsia="Times New Roman" w:cstheme="minorHAnsi"/>
          <w:vertAlign w:val="superscript"/>
          <w:lang w:eastAsia="fr-FR"/>
        </w:rPr>
        <w:t>me</w:t>
      </w:r>
      <w:r w:rsidRPr="0034428C">
        <w:rPr>
          <w:rFonts w:eastAsia="Times New Roman" w:cstheme="minorHAnsi"/>
          <w:lang w:eastAsia="fr-FR"/>
        </w:rPr>
        <w:t>/M.</w:t>
      </w:r>
      <w:r w:rsidRPr="0034428C">
        <w:rPr>
          <w:rFonts w:eastAsia="Times New Roman" w:cstheme="minorHAnsi"/>
          <w:i/>
          <w:lang w:eastAsia="fr-FR"/>
        </w:rPr>
        <w:t> </w:t>
      </w:r>
      <w:r w:rsidRPr="0034428C">
        <w:rPr>
          <w:rFonts w:eastAsia="Times New Roman" w:cstheme="minorHAnsi"/>
          <w:lang w:eastAsia="fr-FR"/>
        </w:rPr>
        <w:t>......,</w:t>
      </w:r>
    </w:p>
    <w:p w14:paraId="08259027" w14:textId="77777777" w:rsidR="008501D0" w:rsidRPr="0034428C" w:rsidRDefault="008501D0" w:rsidP="008501D0">
      <w:pPr>
        <w:autoSpaceDE w:val="0"/>
        <w:autoSpaceDN w:val="0"/>
        <w:spacing w:after="0" w:line="240" w:lineRule="auto"/>
        <w:ind w:right="-1"/>
        <w:rPr>
          <w:rFonts w:eastAsia="Times New Roman" w:cstheme="minorHAnsi"/>
          <w:b/>
          <w:lang w:eastAsia="fr-FR"/>
        </w:rPr>
      </w:pPr>
    </w:p>
    <w:p w14:paraId="2417D74D" w14:textId="77777777" w:rsidR="008501D0" w:rsidRPr="0034428C" w:rsidRDefault="008501D0" w:rsidP="008501D0">
      <w:pPr>
        <w:spacing w:after="0" w:line="240" w:lineRule="auto"/>
        <w:jc w:val="both"/>
        <w:rPr>
          <w:rFonts w:eastAsia="Times New Roman" w:cstheme="minorHAnsi"/>
          <w:lang w:eastAsia="fr-FR"/>
        </w:rPr>
      </w:pPr>
      <w:r w:rsidRPr="0034428C">
        <w:rPr>
          <w:rFonts w:eastAsia="Times New Roman" w:cstheme="minorHAnsi"/>
          <w:lang w:eastAsia="fr-FR"/>
        </w:rPr>
        <w:t>Les règles de sécurité applicables à notre collectivité vous ont été expliquées et sont affichées à plusieurs endroits, notamment auprès des postes particulière</w:t>
      </w:r>
      <w:r w:rsidRPr="0034428C">
        <w:rPr>
          <w:rFonts w:eastAsia="Times New Roman" w:cstheme="minorHAnsi"/>
          <w:lang w:eastAsia="fr-FR"/>
        </w:rPr>
        <w:softHyphen/>
        <w:t>ment concernés par ces règles. Elles s’imposent à tous les agents et impliquent notamment</w:t>
      </w:r>
      <w:r w:rsidRPr="0034428C">
        <w:rPr>
          <w:rFonts w:eastAsia="Times New Roman" w:cstheme="minorHAnsi"/>
          <w:i/>
          <w:lang w:eastAsia="fr-FR"/>
        </w:rPr>
        <w:t> </w:t>
      </w:r>
      <w:r w:rsidRPr="0034428C">
        <w:rPr>
          <w:rFonts w:eastAsia="Times New Roman" w:cstheme="minorHAnsi"/>
          <w:lang w:eastAsia="fr-FR"/>
        </w:rPr>
        <w:t xml:space="preserve">...... </w:t>
      </w:r>
      <w:r w:rsidRPr="0034428C">
        <w:rPr>
          <w:rFonts w:eastAsia="Times New Roman" w:cstheme="minorHAnsi"/>
          <w:i/>
          <w:lang w:eastAsia="fr-FR"/>
        </w:rPr>
        <w:t>(par exemple : le port des équipements de protection individuelle qui vous ont été remis, la demande d’ôter les bijoux ou autres éléments susceptibles d’être entraînés par la machine, ou de vous gêner dans les autres tâches que vous auriez à effectuer etc.)</w:t>
      </w:r>
      <w:r w:rsidRPr="0034428C">
        <w:rPr>
          <w:rFonts w:eastAsia="Times New Roman" w:cstheme="minorHAnsi"/>
          <w:iCs/>
          <w:lang w:eastAsia="fr-FR"/>
        </w:rPr>
        <w:t>.</w:t>
      </w:r>
    </w:p>
    <w:p w14:paraId="41AB621D" w14:textId="77777777" w:rsidR="008501D0" w:rsidRPr="0034428C" w:rsidRDefault="008501D0" w:rsidP="008501D0">
      <w:pPr>
        <w:spacing w:after="0" w:line="240" w:lineRule="auto"/>
        <w:jc w:val="both"/>
        <w:rPr>
          <w:rFonts w:eastAsia="Times New Roman" w:cstheme="minorHAnsi"/>
          <w:lang w:eastAsia="fr-FR"/>
        </w:rPr>
      </w:pPr>
    </w:p>
    <w:p w14:paraId="66DFD4C4" w14:textId="77777777" w:rsidR="008501D0" w:rsidRPr="0034428C" w:rsidRDefault="008501D0" w:rsidP="008501D0">
      <w:pPr>
        <w:spacing w:after="0" w:line="240" w:lineRule="auto"/>
        <w:jc w:val="both"/>
        <w:rPr>
          <w:rFonts w:eastAsia="Times New Roman" w:cstheme="minorHAnsi"/>
          <w:iCs/>
          <w:lang w:eastAsia="fr-FR"/>
        </w:rPr>
      </w:pPr>
      <w:r w:rsidRPr="0034428C">
        <w:rPr>
          <w:rFonts w:eastAsia="Times New Roman" w:cstheme="minorHAnsi"/>
          <w:lang w:eastAsia="fr-FR"/>
        </w:rPr>
        <w:t>Or vous vous êtes présenté(e)</w:t>
      </w:r>
      <w:r w:rsidRPr="0034428C">
        <w:rPr>
          <w:rFonts w:eastAsia="Times New Roman" w:cstheme="minorHAnsi"/>
          <w:i/>
          <w:lang w:eastAsia="fr-FR"/>
        </w:rPr>
        <w:t> </w:t>
      </w:r>
      <w:r w:rsidRPr="0034428C">
        <w:rPr>
          <w:rFonts w:eastAsia="Times New Roman" w:cstheme="minorHAnsi"/>
          <w:lang w:eastAsia="fr-FR"/>
        </w:rPr>
        <w:t xml:space="preserve">…… </w:t>
      </w:r>
      <w:r w:rsidRPr="0034428C">
        <w:rPr>
          <w:rFonts w:eastAsia="Times New Roman" w:cstheme="minorHAnsi"/>
          <w:i/>
          <w:iCs/>
          <w:lang w:eastAsia="fr-FR"/>
        </w:rPr>
        <w:t xml:space="preserve">(précisez : hier, aujourd’hui, à plusieurs reprises, etc.) </w:t>
      </w:r>
      <w:r w:rsidRPr="0034428C">
        <w:rPr>
          <w:rFonts w:eastAsia="Times New Roman" w:cstheme="minorHAnsi"/>
          <w:lang w:eastAsia="fr-FR"/>
        </w:rPr>
        <w:t xml:space="preserve">sur les lieux de travail </w:t>
      </w:r>
      <w:r w:rsidRPr="0034428C">
        <w:rPr>
          <w:rFonts w:eastAsia="Times New Roman" w:cstheme="minorHAnsi"/>
          <w:i/>
          <w:lang w:eastAsia="fr-FR"/>
        </w:rPr>
        <w:t>sans/avec …… (indiquez ce qui n’a pas été mis ou ce qui a été conservé et qui aurait dû être enlevé)</w:t>
      </w:r>
      <w:r w:rsidRPr="0034428C">
        <w:rPr>
          <w:rFonts w:eastAsia="Times New Roman" w:cstheme="minorHAnsi"/>
          <w:iCs/>
          <w:lang w:eastAsia="fr-FR"/>
        </w:rPr>
        <w:t>.</w:t>
      </w:r>
    </w:p>
    <w:p w14:paraId="33F24210" w14:textId="77777777" w:rsidR="008501D0" w:rsidRPr="0034428C" w:rsidRDefault="008501D0" w:rsidP="008501D0">
      <w:pPr>
        <w:spacing w:after="0" w:line="240" w:lineRule="auto"/>
        <w:jc w:val="both"/>
        <w:rPr>
          <w:rFonts w:eastAsia="Times New Roman" w:cstheme="minorHAnsi"/>
          <w:lang w:eastAsia="fr-FR"/>
        </w:rPr>
      </w:pPr>
    </w:p>
    <w:p w14:paraId="6FDD3800" w14:textId="77777777" w:rsidR="008501D0" w:rsidRPr="0034428C" w:rsidRDefault="008501D0" w:rsidP="008501D0">
      <w:pPr>
        <w:spacing w:after="0" w:line="240" w:lineRule="auto"/>
        <w:jc w:val="both"/>
        <w:rPr>
          <w:rFonts w:eastAsia="Times New Roman" w:cstheme="minorHAnsi"/>
          <w:lang w:eastAsia="fr-FR"/>
        </w:rPr>
      </w:pPr>
      <w:r w:rsidRPr="0034428C">
        <w:rPr>
          <w:rFonts w:eastAsia="Times New Roman" w:cstheme="minorHAnsi"/>
          <w:lang w:eastAsia="fr-FR"/>
        </w:rPr>
        <w:t>Nous vous informons que le non-respect des règles de sécurité et la désobéissance aux ordres donnés constitue une faute</w:t>
      </w:r>
      <w:r w:rsidRPr="0034428C">
        <w:rPr>
          <w:rFonts w:eastAsia="Times New Roman" w:cstheme="minorHAnsi"/>
          <w:i/>
          <w:lang w:eastAsia="fr-FR"/>
        </w:rPr>
        <w:t> </w:t>
      </w:r>
      <w:r w:rsidRPr="0034428C">
        <w:rPr>
          <w:rFonts w:eastAsia="Times New Roman" w:cstheme="minorHAnsi"/>
          <w:lang w:eastAsia="fr-FR"/>
        </w:rPr>
        <w:t xml:space="preserve">disciplinaire. Nous vous adressons donc cet avertissement </w:t>
      </w:r>
      <w:r w:rsidRPr="0034428C">
        <w:rPr>
          <w:rFonts w:eastAsia="Times New Roman" w:cstheme="minorHAnsi"/>
          <w:i/>
          <w:iCs/>
          <w:lang w:eastAsia="fr-FR"/>
        </w:rPr>
        <w:t>(s’il y a lieu, ajoutez : tel que prévu à l’échelle des sanctions de notre règlement intérieur/notre convention collective)</w:t>
      </w:r>
      <w:r w:rsidRPr="0034428C">
        <w:rPr>
          <w:rFonts w:eastAsia="Times New Roman" w:cstheme="minorHAnsi"/>
          <w:i/>
          <w:lang w:eastAsia="fr-FR"/>
        </w:rPr>
        <w:t>.</w:t>
      </w:r>
    </w:p>
    <w:p w14:paraId="14BA5030" w14:textId="77777777" w:rsidR="008501D0" w:rsidRPr="0034428C" w:rsidRDefault="008501D0" w:rsidP="008501D0">
      <w:pPr>
        <w:spacing w:after="0" w:line="240" w:lineRule="auto"/>
        <w:jc w:val="both"/>
        <w:rPr>
          <w:rFonts w:eastAsia="Times New Roman" w:cstheme="minorHAnsi"/>
          <w:lang w:eastAsia="fr-FR"/>
        </w:rPr>
      </w:pPr>
    </w:p>
    <w:p w14:paraId="4AA30266" w14:textId="77777777" w:rsidR="008501D0" w:rsidRPr="0034428C" w:rsidRDefault="008501D0" w:rsidP="008501D0">
      <w:pPr>
        <w:spacing w:after="0" w:line="240" w:lineRule="auto"/>
        <w:jc w:val="both"/>
        <w:rPr>
          <w:rFonts w:eastAsia="Times New Roman" w:cstheme="minorHAnsi"/>
          <w:lang w:eastAsia="fr-FR"/>
        </w:rPr>
      </w:pPr>
      <w:r w:rsidRPr="0034428C">
        <w:rPr>
          <w:rFonts w:eastAsia="Times New Roman" w:cstheme="minorHAnsi"/>
          <w:lang w:eastAsia="fr-FR"/>
        </w:rPr>
        <w:t>Nous vous invitons à l’avenir à vous conformer aux consignes données et affichées, pour que de tels faits ne se renouvellent pas et que nous puissions poursuivre</w:t>
      </w:r>
      <w:r w:rsidRPr="0034428C">
        <w:rPr>
          <w:rFonts w:eastAsia="Times New Roman" w:cstheme="minorHAnsi"/>
          <w:i/>
          <w:lang w:eastAsia="fr-FR"/>
        </w:rPr>
        <w:t> </w:t>
      </w:r>
      <w:r w:rsidRPr="0034428C">
        <w:rPr>
          <w:rFonts w:eastAsia="Times New Roman" w:cstheme="minorHAnsi"/>
          <w:lang w:eastAsia="fr-FR"/>
        </w:rPr>
        <w:t>une collaboration agréable et efficace. Nous vous rappelons que cet avertissement constitue une sanction à caractère disciplinaire. Si de tels faits se renouvelaient, ou à l’occasion de toute nouvelle faute, nous pourrions être amenés à envisager une sanction plus importante</w:t>
      </w:r>
      <w:r w:rsidRPr="0034428C">
        <w:rPr>
          <w:rFonts w:eastAsia="Times New Roman" w:cstheme="minorHAnsi"/>
          <w:i/>
          <w:iCs/>
          <w:lang w:eastAsia="fr-FR"/>
        </w:rPr>
        <w:t>.</w:t>
      </w:r>
    </w:p>
    <w:p w14:paraId="6A9FEF66" w14:textId="77777777" w:rsidR="008501D0" w:rsidRPr="0034428C" w:rsidRDefault="008501D0" w:rsidP="008501D0">
      <w:pPr>
        <w:spacing w:after="0" w:line="240" w:lineRule="auto"/>
        <w:jc w:val="both"/>
        <w:rPr>
          <w:rFonts w:eastAsia="Times New Roman" w:cstheme="minorHAnsi"/>
          <w:lang w:eastAsia="fr-FR"/>
        </w:rPr>
      </w:pPr>
    </w:p>
    <w:p w14:paraId="413938AB" w14:textId="082BCF8F" w:rsidR="008501D0" w:rsidRPr="00F0691C" w:rsidRDefault="008501D0" w:rsidP="00F0691C">
      <w:pPr>
        <w:spacing w:after="0" w:line="240" w:lineRule="auto"/>
        <w:jc w:val="both"/>
        <w:rPr>
          <w:rFonts w:eastAsia="Times New Roman" w:cstheme="minorHAnsi"/>
          <w:lang w:eastAsia="fr-FR"/>
        </w:rPr>
      </w:pPr>
      <w:r w:rsidRPr="0034428C">
        <w:rPr>
          <w:rFonts w:eastAsia="Times New Roman" w:cstheme="minorHAnsi"/>
          <w:lang w:eastAsia="fr-FR"/>
        </w:rPr>
        <w:t>Nous vous prions de bien vouloir agréer, M</w:t>
      </w:r>
      <w:r w:rsidRPr="0034428C">
        <w:rPr>
          <w:rFonts w:eastAsia="Times New Roman" w:cstheme="minorHAnsi"/>
          <w:vertAlign w:val="superscript"/>
          <w:lang w:eastAsia="fr-FR"/>
        </w:rPr>
        <w:t>me</w:t>
      </w:r>
      <w:r w:rsidRPr="0034428C">
        <w:rPr>
          <w:rFonts w:eastAsia="Times New Roman" w:cstheme="minorHAnsi"/>
          <w:lang w:eastAsia="fr-FR"/>
        </w:rPr>
        <w:t>/M.</w:t>
      </w:r>
      <w:r w:rsidRPr="0034428C">
        <w:rPr>
          <w:rFonts w:eastAsia="Times New Roman" w:cstheme="minorHAnsi"/>
          <w:i/>
          <w:lang w:eastAsia="fr-FR"/>
        </w:rPr>
        <w:t> </w:t>
      </w:r>
      <w:r w:rsidRPr="0034428C">
        <w:rPr>
          <w:rFonts w:eastAsia="Times New Roman" w:cstheme="minorHAnsi"/>
          <w:lang w:eastAsia="fr-FR"/>
        </w:rPr>
        <w:t>......, l'expression de nos salutations distinguées.</w:t>
      </w:r>
    </w:p>
    <w:p w14:paraId="4B3FD628" w14:textId="77777777" w:rsidR="008501D0" w:rsidRPr="0034428C" w:rsidRDefault="008501D0" w:rsidP="008501D0">
      <w:pPr>
        <w:tabs>
          <w:tab w:val="left" w:pos="5670"/>
        </w:tabs>
        <w:spacing w:after="0" w:line="240" w:lineRule="auto"/>
        <w:rPr>
          <w:rFonts w:eastAsia="Times New Roman" w:cstheme="minorHAnsi"/>
          <w:b/>
          <w:lang w:eastAsia="fr-FR"/>
        </w:rPr>
      </w:pPr>
    </w:p>
    <w:p w14:paraId="1CE42EE7" w14:textId="47E980E8" w:rsidR="008501D0" w:rsidRDefault="008501D0" w:rsidP="008501D0">
      <w:pPr>
        <w:tabs>
          <w:tab w:val="left" w:pos="5670"/>
        </w:tabs>
        <w:spacing w:after="0" w:line="240" w:lineRule="auto"/>
        <w:rPr>
          <w:rFonts w:eastAsia="Times New Roman" w:cstheme="minorHAnsi"/>
          <w:lang w:eastAsia="fr-FR"/>
        </w:rPr>
      </w:pPr>
      <w:r w:rsidRPr="0034428C">
        <w:rPr>
          <w:rFonts w:eastAsia="Times New Roman" w:cstheme="minorHAnsi"/>
          <w:b/>
          <w:lang w:eastAsia="fr-FR"/>
        </w:rPr>
        <w:tab/>
      </w:r>
      <w:r w:rsidR="00C16E54">
        <w:rPr>
          <w:rFonts w:eastAsia="Times New Roman" w:cstheme="minorHAnsi"/>
          <w:b/>
          <w:lang w:eastAsia="fr-FR"/>
        </w:rPr>
        <w:t xml:space="preserve">                                               </w:t>
      </w:r>
      <w:r w:rsidRPr="0034428C">
        <w:rPr>
          <w:rFonts w:eastAsia="Times New Roman" w:cstheme="minorHAnsi"/>
          <w:lang w:eastAsia="fr-FR"/>
        </w:rPr>
        <w:t>Signature de l’employeur</w:t>
      </w:r>
    </w:p>
    <w:p w14:paraId="38DE5F93" w14:textId="77777777" w:rsidR="00F0691C" w:rsidRPr="00F0691C" w:rsidRDefault="00F0691C" w:rsidP="008501D0">
      <w:pPr>
        <w:tabs>
          <w:tab w:val="left" w:pos="5670"/>
        </w:tabs>
        <w:spacing w:after="0" w:line="240" w:lineRule="auto"/>
        <w:rPr>
          <w:rFonts w:eastAsia="Times New Roman" w:cstheme="minorHAnsi"/>
          <w:lang w:eastAsia="fr-FR"/>
        </w:rPr>
      </w:pPr>
    </w:p>
    <w:p w14:paraId="54A320C6" w14:textId="77777777" w:rsidR="00C16E54" w:rsidRPr="0034428C" w:rsidRDefault="00C16E54" w:rsidP="008501D0">
      <w:pPr>
        <w:tabs>
          <w:tab w:val="left" w:pos="5670"/>
        </w:tabs>
        <w:spacing w:after="0" w:line="240" w:lineRule="auto"/>
        <w:rPr>
          <w:rFonts w:eastAsia="Times New Roman" w:cstheme="minorHAnsi"/>
          <w:b/>
          <w:lang w:eastAsia="fr-FR"/>
        </w:rPr>
      </w:pPr>
    </w:p>
    <w:p w14:paraId="78E810D5" w14:textId="77777777" w:rsidR="008501D0" w:rsidRPr="0034428C" w:rsidRDefault="008501D0" w:rsidP="008501D0">
      <w:pPr>
        <w:autoSpaceDE w:val="0"/>
        <w:autoSpaceDN w:val="0"/>
        <w:spacing w:after="0" w:line="240" w:lineRule="auto"/>
        <w:jc w:val="both"/>
        <w:rPr>
          <w:rFonts w:eastAsia="Times New Roman" w:cstheme="minorHAnsi"/>
          <w:b/>
          <w:bCs/>
          <w:i/>
          <w:lang w:eastAsia="fr-FR"/>
        </w:rPr>
      </w:pPr>
      <w:r w:rsidRPr="0034428C">
        <w:rPr>
          <w:rFonts w:eastAsia="Times New Roman" w:cstheme="minorHAnsi"/>
          <w:b/>
          <w:bCs/>
          <w:i/>
          <w:lang w:eastAsia="fr-FR"/>
        </w:rPr>
        <w:t>Variante si la notification est remise en main propre contre décharge</w:t>
      </w:r>
    </w:p>
    <w:p w14:paraId="79DAAF11" w14:textId="77777777" w:rsidR="008501D0" w:rsidRPr="0034428C" w:rsidRDefault="008501D0" w:rsidP="008501D0">
      <w:pPr>
        <w:pBdr>
          <w:top w:val="single" w:sz="4" w:space="1" w:color="auto"/>
          <w:left w:val="single" w:sz="4" w:space="4" w:color="auto"/>
          <w:bottom w:val="single" w:sz="4" w:space="1" w:color="auto"/>
          <w:right w:val="single" w:sz="4" w:space="4" w:color="auto"/>
        </w:pBdr>
        <w:tabs>
          <w:tab w:val="left" w:pos="5670"/>
          <w:tab w:val="left" w:pos="6616"/>
        </w:tabs>
        <w:spacing w:after="0" w:line="240" w:lineRule="auto"/>
        <w:rPr>
          <w:rFonts w:eastAsia="Times New Roman" w:cstheme="minorHAnsi"/>
          <w:lang w:eastAsia="fr-FR"/>
        </w:rPr>
      </w:pPr>
    </w:p>
    <w:p w14:paraId="557B0A66" w14:textId="7D290A76" w:rsidR="008501D0" w:rsidRPr="0034428C" w:rsidRDefault="008501D0" w:rsidP="008501D0">
      <w:pPr>
        <w:pBdr>
          <w:top w:val="single" w:sz="4" w:space="1" w:color="auto"/>
          <w:left w:val="single" w:sz="4" w:space="4" w:color="auto"/>
          <w:bottom w:val="single" w:sz="4" w:space="1" w:color="auto"/>
          <w:right w:val="single" w:sz="4" w:space="4" w:color="auto"/>
        </w:pBdr>
        <w:tabs>
          <w:tab w:val="left" w:pos="5670"/>
          <w:tab w:val="left" w:pos="6616"/>
        </w:tabs>
        <w:spacing w:after="0" w:line="240" w:lineRule="auto"/>
        <w:rPr>
          <w:rFonts w:eastAsia="Times New Roman" w:cstheme="minorHAnsi"/>
          <w:i/>
          <w:iCs/>
          <w:lang w:eastAsia="fr-FR"/>
        </w:rPr>
      </w:pPr>
      <w:r w:rsidRPr="0034428C">
        <w:rPr>
          <w:rFonts w:eastAsia="Times New Roman" w:cstheme="minorHAnsi"/>
          <w:lang w:eastAsia="fr-FR"/>
        </w:rPr>
        <w:t xml:space="preserve">Signature </w:t>
      </w:r>
      <w:r w:rsidR="00BF792B">
        <w:rPr>
          <w:rFonts w:eastAsia="Times New Roman" w:cstheme="minorHAnsi"/>
          <w:lang w:eastAsia="fr-FR"/>
        </w:rPr>
        <w:t>de l’agent</w:t>
      </w:r>
      <w:r w:rsidRPr="0034428C">
        <w:rPr>
          <w:rFonts w:eastAsia="Times New Roman" w:cstheme="minorHAnsi"/>
          <w:lang w:eastAsia="fr-FR"/>
        </w:rPr>
        <w:tab/>
        <w:t>Signature de l'employeur</w:t>
      </w:r>
    </w:p>
    <w:p w14:paraId="6C4AC232" w14:textId="77777777" w:rsidR="008501D0" w:rsidRPr="0034428C" w:rsidRDefault="008501D0" w:rsidP="008501D0">
      <w:pPr>
        <w:pBdr>
          <w:top w:val="single" w:sz="4" w:space="1" w:color="auto"/>
          <w:left w:val="single" w:sz="4" w:space="4" w:color="auto"/>
          <w:bottom w:val="single" w:sz="4" w:space="1" w:color="auto"/>
          <w:right w:val="single" w:sz="4" w:space="4" w:color="auto"/>
        </w:pBdr>
        <w:tabs>
          <w:tab w:val="left" w:pos="5670"/>
          <w:tab w:val="left" w:pos="6616"/>
        </w:tabs>
        <w:spacing w:after="0" w:line="240" w:lineRule="auto"/>
        <w:rPr>
          <w:rFonts w:eastAsia="Times New Roman" w:cstheme="minorHAnsi"/>
          <w:i/>
          <w:iCs/>
          <w:lang w:eastAsia="fr-FR"/>
        </w:rPr>
      </w:pPr>
      <w:r w:rsidRPr="0034428C">
        <w:rPr>
          <w:rFonts w:eastAsia="Times New Roman" w:cstheme="minorHAnsi"/>
          <w:i/>
          <w:iCs/>
          <w:lang w:eastAsia="fr-FR"/>
        </w:rPr>
        <w:t xml:space="preserve">(Précédée de la mention manuscrite </w:t>
      </w:r>
    </w:p>
    <w:p w14:paraId="6DDA51C2" w14:textId="6CFAA2C2" w:rsidR="008501D0" w:rsidRPr="0034428C" w:rsidRDefault="008501D0" w:rsidP="008501D0">
      <w:pPr>
        <w:pBdr>
          <w:top w:val="single" w:sz="4" w:space="1" w:color="auto"/>
          <w:left w:val="single" w:sz="4" w:space="4" w:color="auto"/>
          <w:bottom w:val="single" w:sz="4" w:space="1" w:color="auto"/>
          <w:right w:val="single" w:sz="4" w:space="4" w:color="auto"/>
        </w:pBdr>
        <w:tabs>
          <w:tab w:val="left" w:pos="5670"/>
          <w:tab w:val="left" w:pos="6616"/>
        </w:tabs>
        <w:spacing w:after="0" w:line="240" w:lineRule="auto"/>
        <w:rPr>
          <w:rFonts w:eastAsia="Times New Roman" w:cstheme="minorHAnsi"/>
          <w:i/>
          <w:iCs/>
          <w:lang w:eastAsia="fr-FR"/>
        </w:rPr>
      </w:pPr>
      <w:r w:rsidRPr="0034428C">
        <w:rPr>
          <w:rFonts w:eastAsia="Times New Roman" w:cstheme="minorHAnsi"/>
          <w:i/>
          <w:iCs/>
          <w:lang w:eastAsia="fr-FR"/>
        </w:rPr>
        <w:t>« Remise en main propre le …</w:t>
      </w:r>
      <w:r w:rsidR="000E71C6">
        <w:rPr>
          <w:rFonts w:eastAsia="Times New Roman" w:cstheme="minorHAnsi"/>
          <w:i/>
          <w:iCs/>
          <w:lang w:eastAsia="fr-FR"/>
        </w:rPr>
        <w:t xml:space="preserve">  /</w:t>
      </w:r>
      <w:r w:rsidRPr="0034428C">
        <w:rPr>
          <w:rFonts w:eastAsia="Times New Roman" w:cstheme="minorHAnsi"/>
          <w:i/>
          <w:iCs/>
          <w:lang w:eastAsia="fr-FR"/>
        </w:rPr>
        <w:t>…</w:t>
      </w:r>
      <w:r w:rsidR="000E71C6">
        <w:rPr>
          <w:rFonts w:eastAsia="Times New Roman" w:cstheme="minorHAnsi"/>
          <w:i/>
          <w:iCs/>
          <w:lang w:eastAsia="fr-FR"/>
        </w:rPr>
        <w:t xml:space="preserve">  /      </w:t>
      </w:r>
      <w:r w:rsidRPr="0034428C">
        <w:rPr>
          <w:rFonts w:eastAsia="Times New Roman" w:cstheme="minorHAnsi"/>
          <w:i/>
          <w:iCs/>
          <w:lang w:eastAsia="fr-FR"/>
        </w:rPr>
        <w:t>, établie en double exemplaire »)</w:t>
      </w:r>
    </w:p>
    <w:p w14:paraId="6B7F7483" w14:textId="77777777" w:rsidR="008501D0" w:rsidRPr="0034428C" w:rsidRDefault="008501D0" w:rsidP="008501D0">
      <w:pPr>
        <w:autoSpaceDE w:val="0"/>
        <w:autoSpaceDN w:val="0"/>
        <w:spacing w:after="0" w:line="240" w:lineRule="auto"/>
        <w:rPr>
          <w:rFonts w:eastAsia="Times New Roman" w:cstheme="minorHAnsi"/>
          <w:color w:val="00B0F0"/>
          <w:lang w:eastAsia="fr-FR"/>
        </w:rPr>
      </w:pPr>
    </w:p>
    <w:sectPr w:rsidR="008501D0" w:rsidRPr="0034428C" w:rsidSect="00835AF9">
      <w:headerReference w:type="default" r:id="rId10"/>
      <w:footerReference w:type="default" r:id="rId11"/>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06D76" w14:textId="77777777" w:rsidR="00835AF9" w:rsidRDefault="00835AF9" w:rsidP="00B044B6">
      <w:pPr>
        <w:spacing w:after="0" w:line="240" w:lineRule="auto"/>
      </w:pPr>
      <w:r>
        <w:separator/>
      </w:r>
    </w:p>
  </w:endnote>
  <w:endnote w:type="continuationSeparator" w:id="0">
    <w:p w14:paraId="5D883916" w14:textId="77777777" w:rsidR="00835AF9" w:rsidRDefault="00835AF9" w:rsidP="00B0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1545821"/>
      <w:docPartObj>
        <w:docPartGallery w:val="Page Numbers (Bottom of Page)"/>
        <w:docPartUnique/>
      </w:docPartObj>
    </w:sdtPr>
    <w:sdtEndPr/>
    <w:sdtContent>
      <w:sdt>
        <w:sdtPr>
          <w:id w:val="123787606"/>
          <w:docPartObj>
            <w:docPartGallery w:val="Page Numbers (Top of Page)"/>
            <w:docPartUnique/>
          </w:docPartObj>
        </w:sdtPr>
        <w:sdtEndPr/>
        <w:sdtContent>
          <w:p w14:paraId="0E76CA98" w14:textId="77777777" w:rsidR="00F951E3" w:rsidRDefault="00F951E3">
            <w:pPr>
              <w:pStyle w:val="Pieddepage"/>
              <w:jc w:val="right"/>
            </w:pPr>
            <w:r>
              <w:t xml:space="preserve">Page </w:t>
            </w:r>
            <w:r w:rsidR="00EB26F8">
              <w:rPr>
                <w:b/>
                <w:sz w:val="24"/>
                <w:szCs w:val="24"/>
              </w:rPr>
              <w:fldChar w:fldCharType="begin"/>
            </w:r>
            <w:r>
              <w:rPr>
                <w:b/>
              </w:rPr>
              <w:instrText>PAGE</w:instrText>
            </w:r>
            <w:r w:rsidR="00EB26F8">
              <w:rPr>
                <w:b/>
                <w:sz w:val="24"/>
                <w:szCs w:val="24"/>
              </w:rPr>
              <w:fldChar w:fldCharType="separate"/>
            </w:r>
            <w:r w:rsidR="00ED2DBA">
              <w:rPr>
                <w:b/>
                <w:noProof/>
              </w:rPr>
              <w:t>2</w:t>
            </w:r>
            <w:r w:rsidR="00EB26F8">
              <w:rPr>
                <w:b/>
                <w:sz w:val="24"/>
                <w:szCs w:val="24"/>
              </w:rPr>
              <w:fldChar w:fldCharType="end"/>
            </w:r>
            <w:r>
              <w:t xml:space="preserve"> sur </w:t>
            </w:r>
            <w:r w:rsidR="00EB26F8">
              <w:rPr>
                <w:b/>
                <w:sz w:val="24"/>
                <w:szCs w:val="24"/>
              </w:rPr>
              <w:fldChar w:fldCharType="begin"/>
            </w:r>
            <w:r>
              <w:rPr>
                <w:b/>
              </w:rPr>
              <w:instrText>NUMPAGES</w:instrText>
            </w:r>
            <w:r w:rsidR="00EB26F8">
              <w:rPr>
                <w:b/>
                <w:sz w:val="24"/>
                <w:szCs w:val="24"/>
              </w:rPr>
              <w:fldChar w:fldCharType="separate"/>
            </w:r>
            <w:r w:rsidR="00ED2DBA">
              <w:rPr>
                <w:b/>
                <w:noProof/>
              </w:rPr>
              <w:t>3</w:t>
            </w:r>
            <w:r w:rsidR="00EB26F8">
              <w:rPr>
                <w:b/>
                <w:sz w:val="24"/>
                <w:szCs w:val="24"/>
              </w:rPr>
              <w:fldChar w:fldCharType="end"/>
            </w:r>
          </w:p>
        </w:sdtContent>
      </w:sdt>
    </w:sdtContent>
  </w:sdt>
  <w:p w14:paraId="7E46DC17" w14:textId="77777777" w:rsidR="00F951E3" w:rsidRDefault="00F951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7DAD3" w14:textId="77777777" w:rsidR="00835AF9" w:rsidRDefault="00835AF9" w:rsidP="00B044B6">
      <w:pPr>
        <w:spacing w:after="0" w:line="240" w:lineRule="auto"/>
      </w:pPr>
      <w:r>
        <w:separator/>
      </w:r>
    </w:p>
  </w:footnote>
  <w:footnote w:type="continuationSeparator" w:id="0">
    <w:p w14:paraId="66E442B1" w14:textId="77777777" w:rsidR="00835AF9" w:rsidRDefault="00835AF9" w:rsidP="00B0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0774" w:type="dxa"/>
      <w:tblLook w:val="04A0" w:firstRow="1" w:lastRow="0" w:firstColumn="1" w:lastColumn="0" w:noHBand="0" w:noVBand="1"/>
    </w:tblPr>
    <w:tblGrid>
      <w:gridCol w:w="3119"/>
      <w:gridCol w:w="4536"/>
      <w:gridCol w:w="3119"/>
    </w:tblGrid>
    <w:tr w:rsidR="00986AEA" w14:paraId="4E550FCE" w14:textId="77777777" w:rsidTr="00CF7A74">
      <w:trPr>
        <w:trHeight w:val="680"/>
      </w:trPr>
      <w:tc>
        <w:tcPr>
          <w:tcW w:w="3119" w:type="dxa"/>
          <w:vMerge w:val="restart"/>
          <w:tcBorders>
            <w:top w:val="single" w:sz="12" w:space="0" w:color="auto"/>
            <w:left w:val="single" w:sz="12" w:space="0" w:color="auto"/>
            <w:right w:val="single" w:sz="12" w:space="0" w:color="auto"/>
          </w:tcBorders>
        </w:tcPr>
        <w:p w14:paraId="4E16D93B" w14:textId="77777777" w:rsidR="00986AEA" w:rsidRDefault="00986AEA" w:rsidP="00D716CE">
          <w:pPr>
            <w:jc w:val="center"/>
          </w:pPr>
          <w:r>
            <w:rPr>
              <w:noProof/>
            </w:rPr>
            <w:drawing>
              <wp:anchor distT="0" distB="0" distL="114300" distR="114300" simplePos="0" relativeHeight="251659776" behindDoc="0" locked="0" layoutInCell="1" allowOverlap="1" wp14:anchorId="4A08528E" wp14:editId="1E305CB4">
                <wp:simplePos x="0" y="0"/>
                <wp:positionH relativeFrom="column">
                  <wp:posOffset>448310</wp:posOffset>
                </wp:positionH>
                <wp:positionV relativeFrom="paragraph">
                  <wp:posOffset>67945</wp:posOffset>
                </wp:positionV>
                <wp:extent cx="869950" cy="911860"/>
                <wp:effectExtent l="0" t="0" r="0" b="0"/>
                <wp:wrapNone/>
                <wp:docPr id="3" name="Image 3"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210" cy="914229"/>
                        </a:xfrm>
                        <a:prstGeom prst="rect">
                          <a:avLst/>
                        </a:prstGeom>
                      </pic:spPr>
                    </pic:pic>
                  </a:graphicData>
                </a:graphic>
                <wp14:sizeRelH relativeFrom="page">
                  <wp14:pctWidth>0</wp14:pctWidth>
                </wp14:sizeRelH>
                <wp14:sizeRelV relativeFrom="page">
                  <wp14:pctHeight>0</wp14:pctHeight>
                </wp14:sizeRelV>
              </wp:anchor>
            </w:drawing>
          </w:r>
        </w:p>
        <w:p w14:paraId="3E2AAB33" w14:textId="77777777" w:rsidR="00986AEA" w:rsidRPr="00986AEA" w:rsidRDefault="00986AEA" w:rsidP="00986AEA"/>
        <w:p w14:paraId="5F4264DD" w14:textId="77777777" w:rsidR="00986AEA" w:rsidRDefault="00986AEA" w:rsidP="00986AEA"/>
        <w:p w14:paraId="3C352F02" w14:textId="77777777" w:rsidR="00986AEA" w:rsidRDefault="00986AEA" w:rsidP="00986AEA"/>
        <w:p w14:paraId="7C362A87" w14:textId="77777777" w:rsidR="00986AEA" w:rsidRDefault="00986AEA" w:rsidP="00986AEA"/>
        <w:p w14:paraId="3C3D6530" w14:textId="77777777" w:rsidR="00986AEA" w:rsidRDefault="00986AEA" w:rsidP="00986AEA"/>
        <w:p w14:paraId="0AB93A48" w14:textId="74C6928C" w:rsidR="00F61D0F" w:rsidRPr="00F61D0F" w:rsidRDefault="00986AEA" w:rsidP="00F61D0F">
          <w:pPr>
            <w:jc w:val="center"/>
            <w:rPr>
              <w:b/>
              <w:bCs/>
              <w:i/>
              <w:iCs/>
              <w:sz w:val="20"/>
              <w:szCs w:val="20"/>
            </w:rPr>
          </w:pPr>
          <w:r w:rsidRPr="00F61D0F">
            <w:rPr>
              <w:b/>
              <w:bCs/>
              <w:i/>
              <w:iCs/>
              <w:sz w:val="20"/>
              <w:szCs w:val="20"/>
            </w:rPr>
            <w:t>Service Hygiène et Sécurité</w:t>
          </w:r>
        </w:p>
      </w:tc>
      <w:tc>
        <w:tcPr>
          <w:tcW w:w="4536" w:type="dxa"/>
          <w:vMerge w:val="restart"/>
          <w:tcBorders>
            <w:top w:val="single" w:sz="12" w:space="0" w:color="auto"/>
            <w:left w:val="single" w:sz="12" w:space="0" w:color="auto"/>
            <w:right w:val="single" w:sz="12" w:space="0" w:color="auto"/>
          </w:tcBorders>
          <w:vAlign w:val="center"/>
        </w:tcPr>
        <w:p w14:paraId="490E9977" w14:textId="424747AB" w:rsidR="00566B8B" w:rsidRDefault="00F90920" w:rsidP="00365996">
          <w:pPr>
            <w:jc w:val="center"/>
            <w:rPr>
              <w:b/>
              <w:sz w:val="28"/>
              <w:szCs w:val="28"/>
            </w:rPr>
          </w:pPr>
          <w:r>
            <w:rPr>
              <w:b/>
              <w:sz w:val="28"/>
              <w:szCs w:val="28"/>
            </w:rPr>
            <w:t xml:space="preserve">Droits et devoirs des </w:t>
          </w:r>
          <w:r w:rsidR="006D6D80">
            <w:rPr>
              <w:b/>
              <w:sz w:val="28"/>
              <w:szCs w:val="28"/>
            </w:rPr>
            <w:t>agents publics</w:t>
          </w:r>
          <w:r>
            <w:rPr>
              <w:b/>
              <w:sz w:val="28"/>
              <w:szCs w:val="28"/>
            </w:rPr>
            <w:t xml:space="preserve"> en hygiène et sécurité</w:t>
          </w:r>
        </w:p>
      </w:tc>
      <w:tc>
        <w:tcPr>
          <w:tcW w:w="3119" w:type="dxa"/>
          <w:tcBorders>
            <w:top w:val="single" w:sz="12" w:space="0" w:color="auto"/>
            <w:left w:val="single" w:sz="12" w:space="0" w:color="auto"/>
            <w:bottom w:val="single" w:sz="12" w:space="0" w:color="auto"/>
            <w:right w:val="single" w:sz="12" w:space="0" w:color="auto"/>
          </w:tcBorders>
          <w:vAlign w:val="center"/>
        </w:tcPr>
        <w:p w14:paraId="502248F0" w14:textId="1B8C7D2E" w:rsidR="00986AEA" w:rsidRPr="00E3749A" w:rsidRDefault="00986AEA" w:rsidP="00F61D0F">
          <w:pPr>
            <w:jc w:val="center"/>
            <w:rPr>
              <w:rFonts w:ascii="ArialMT" w:hAnsi="ArialMT" w:cs="ArialMT"/>
              <w:color w:val="000000" w:themeColor="text1"/>
              <w:sz w:val="20"/>
              <w:szCs w:val="20"/>
            </w:rPr>
          </w:pPr>
          <w:r w:rsidRPr="00E3749A">
            <w:rPr>
              <w:rFonts w:ascii="ArialMT" w:hAnsi="ArialMT" w:cs="ArialMT"/>
              <w:color w:val="000000" w:themeColor="text1"/>
              <w:sz w:val="20"/>
              <w:szCs w:val="20"/>
            </w:rPr>
            <w:t>Référence : D</w:t>
          </w:r>
          <w:r w:rsidR="00F90920">
            <w:rPr>
              <w:rFonts w:ascii="ArialMT" w:hAnsi="ArialMT" w:cs="ArialMT"/>
              <w:color w:val="000000" w:themeColor="text1"/>
              <w:sz w:val="20"/>
              <w:szCs w:val="20"/>
            </w:rPr>
            <w:t>R</w:t>
          </w:r>
          <w:r w:rsidRPr="00E3749A">
            <w:rPr>
              <w:rFonts w:ascii="ArialMT" w:hAnsi="ArialMT" w:cs="ArialMT"/>
              <w:color w:val="000000" w:themeColor="text1"/>
              <w:sz w:val="20"/>
              <w:szCs w:val="20"/>
            </w:rPr>
            <w:t xml:space="preserve"> </w:t>
          </w:r>
          <w:r w:rsidR="00F90920">
            <w:rPr>
              <w:rFonts w:ascii="ArialMT" w:hAnsi="ArialMT" w:cs="ArialMT"/>
              <w:color w:val="000000" w:themeColor="text1"/>
              <w:sz w:val="20"/>
              <w:szCs w:val="20"/>
            </w:rPr>
            <w:t>0</w:t>
          </w:r>
          <w:r w:rsidR="00A444EB">
            <w:rPr>
              <w:rFonts w:ascii="ArialMT" w:hAnsi="ArialMT" w:cs="ArialMT"/>
              <w:color w:val="000000" w:themeColor="text1"/>
              <w:sz w:val="20"/>
              <w:szCs w:val="20"/>
            </w:rPr>
            <w:t>7</w:t>
          </w:r>
        </w:p>
      </w:tc>
    </w:tr>
    <w:tr w:rsidR="00E3749A" w14:paraId="68DEB8B3" w14:textId="77777777" w:rsidTr="00CF7A74">
      <w:trPr>
        <w:trHeight w:val="561"/>
      </w:trPr>
      <w:tc>
        <w:tcPr>
          <w:tcW w:w="3119" w:type="dxa"/>
          <w:vMerge/>
          <w:tcBorders>
            <w:left w:val="single" w:sz="12" w:space="0" w:color="auto"/>
            <w:right w:val="single" w:sz="12" w:space="0" w:color="auto"/>
          </w:tcBorders>
        </w:tcPr>
        <w:p w14:paraId="73BF20D1" w14:textId="77777777" w:rsidR="00E3749A" w:rsidRDefault="00E3749A" w:rsidP="00D716CE">
          <w:pPr>
            <w:jc w:val="center"/>
            <w:rPr>
              <w:noProof/>
            </w:rPr>
          </w:pPr>
        </w:p>
      </w:tc>
      <w:tc>
        <w:tcPr>
          <w:tcW w:w="4536" w:type="dxa"/>
          <w:vMerge/>
          <w:tcBorders>
            <w:left w:val="single" w:sz="12" w:space="0" w:color="auto"/>
            <w:right w:val="single" w:sz="12" w:space="0" w:color="auto"/>
          </w:tcBorders>
          <w:vAlign w:val="center"/>
        </w:tcPr>
        <w:p w14:paraId="065AF98D" w14:textId="77777777" w:rsidR="00E3749A" w:rsidRDefault="00E3749A" w:rsidP="00365996">
          <w:pPr>
            <w:jc w:val="center"/>
            <w:rPr>
              <w:b/>
              <w:sz w:val="28"/>
              <w:szCs w:val="28"/>
            </w:rPr>
          </w:pPr>
        </w:p>
      </w:tc>
      <w:tc>
        <w:tcPr>
          <w:tcW w:w="3119" w:type="dxa"/>
          <w:tcBorders>
            <w:top w:val="single" w:sz="12" w:space="0" w:color="auto"/>
            <w:left w:val="single" w:sz="12" w:space="0" w:color="auto"/>
            <w:bottom w:val="single" w:sz="12" w:space="0" w:color="auto"/>
            <w:right w:val="single" w:sz="12" w:space="0" w:color="auto"/>
          </w:tcBorders>
          <w:vAlign w:val="center"/>
        </w:tcPr>
        <w:p w14:paraId="6B244101" w14:textId="5A3558F9" w:rsidR="00E3749A" w:rsidRPr="00E3749A" w:rsidRDefault="00E3749A" w:rsidP="00365996">
          <w:pPr>
            <w:rPr>
              <w:rFonts w:ascii="ArialMT" w:hAnsi="ArialMT" w:cs="ArialMT"/>
              <w:color w:val="000000" w:themeColor="text1"/>
              <w:sz w:val="20"/>
              <w:szCs w:val="20"/>
            </w:rPr>
          </w:pPr>
          <w:r w:rsidRPr="00E3749A">
            <w:rPr>
              <w:rFonts w:ascii="ArialMT" w:hAnsi="ArialMT" w:cs="ArialMT"/>
              <w:color w:val="000000" w:themeColor="text1"/>
              <w:sz w:val="20"/>
              <w:szCs w:val="20"/>
            </w:rPr>
            <w:t xml:space="preserve">Date </w:t>
          </w:r>
          <w:r w:rsidR="00CF7A74">
            <w:rPr>
              <w:rFonts w:ascii="ArialMT" w:hAnsi="ArialMT" w:cs="ArialMT"/>
              <w:color w:val="000000" w:themeColor="text1"/>
              <w:sz w:val="20"/>
              <w:szCs w:val="20"/>
            </w:rPr>
            <w:t xml:space="preserve">de </w:t>
          </w:r>
          <w:r>
            <w:rPr>
              <w:rFonts w:ascii="ArialMT" w:hAnsi="ArialMT" w:cs="ArialMT"/>
              <w:color w:val="000000" w:themeColor="text1"/>
              <w:sz w:val="20"/>
              <w:szCs w:val="20"/>
            </w:rPr>
            <w:t>création</w:t>
          </w:r>
          <w:r w:rsidRPr="00E3749A">
            <w:rPr>
              <w:rFonts w:ascii="ArialMT" w:hAnsi="ArialMT" w:cs="ArialMT"/>
              <w:color w:val="000000" w:themeColor="text1"/>
              <w:sz w:val="20"/>
              <w:szCs w:val="20"/>
            </w:rPr>
            <w:t> : 2</w:t>
          </w:r>
          <w:r w:rsidR="00F90920">
            <w:rPr>
              <w:rFonts w:ascii="ArialMT" w:hAnsi="ArialMT" w:cs="ArialMT"/>
              <w:color w:val="000000" w:themeColor="text1"/>
              <w:sz w:val="20"/>
              <w:szCs w:val="20"/>
            </w:rPr>
            <w:t>1</w:t>
          </w:r>
          <w:r w:rsidRPr="00E3749A">
            <w:rPr>
              <w:rFonts w:ascii="ArialMT" w:hAnsi="ArialMT" w:cs="ArialMT"/>
              <w:color w:val="000000" w:themeColor="text1"/>
              <w:sz w:val="20"/>
              <w:szCs w:val="20"/>
            </w:rPr>
            <w:t>/0</w:t>
          </w:r>
          <w:r w:rsidR="00F90920">
            <w:rPr>
              <w:rFonts w:ascii="ArialMT" w:hAnsi="ArialMT" w:cs="ArialMT"/>
              <w:color w:val="000000" w:themeColor="text1"/>
              <w:sz w:val="20"/>
              <w:szCs w:val="20"/>
            </w:rPr>
            <w:t>9</w:t>
          </w:r>
          <w:r w:rsidRPr="00E3749A">
            <w:rPr>
              <w:rFonts w:ascii="ArialMT" w:hAnsi="ArialMT" w:cs="ArialMT"/>
              <w:color w:val="000000" w:themeColor="text1"/>
              <w:sz w:val="20"/>
              <w:szCs w:val="20"/>
            </w:rPr>
            <w:t>/20</w:t>
          </w:r>
          <w:r w:rsidR="00F90920">
            <w:rPr>
              <w:rFonts w:ascii="ArialMT" w:hAnsi="ArialMT" w:cs="ArialMT"/>
              <w:color w:val="000000" w:themeColor="text1"/>
              <w:sz w:val="20"/>
              <w:szCs w:val="20"/>
            </w:rPr>
            <w:t>15</w:t>
          </w:r>
        </w:p>
      </w:tc>
    </w:tr>
    <w:tr w:rsidR="00986AEA" w14:paraId="3FC7CE61" w14:textId="77777777" w:rsidTr="00CF7A74">
      <w:tc>
        <w:tcPr>
          <w:tcW w:w="3119" w:type="dxa"/>
          <w:vMerge/>
          <w:tcBorders>
            <w:left w:val="single" w:sz="12" w:space="0" w:color="auto"/>
            <w:bottom w:val="single" w:sz="12" w:space="0" w:color="auto"/>
            <w:right w:val="single" w:sz="12" w:space="0" w:color="auto"/>
          </w:tcBorders>
        </w:tcPr>
        <w:p w14:paraId="601D2FCA" w14:textId="77777777" w:rsidR="00986AEA" w:rsidRDefault="00986AEA">
          <w:pPr>
            <w:rPr>
              <w:b/>
              <w:sz w:val="28"/>
              <w:szCs w:val="28"/>
            </w:rPr>
          </w:pPr>
        </w:p>
      </w:tc>
      <w:tc>
        <w:tcPr>
          <w:tcW w:w="4536" w:type="dxa"/>
          <w:vMerge/>
          <w:tcBorders>
            <w:left w:val="single" w:sz="12" w:space="0" w:color="auto"/>
            <w:bottom w:val="single" w:sz="12" w:space="0" w:color="auto"/>
            <w:right w:val="single" w:sz="12" w:space="0" w:color="auto"/>
          </w:tcBorders>
        </w:tcPr>
        <w:p w14:paraId="304C2BE7" w14:textId="7EFD8D28" w:rsidR="00986AEA" w:rsidRDefault="00986AEA">
          <w:pPr>
            <w:rPr>
              <w:b/>
              <w:sz w:val="28"/>
              <w:szCs w:val="28"/>
            </w:rPr>
          </w:pPr>
        </w:p>
      </w:tc>
      <w:tc>
        <w:tcPr>
          <w:tcW w:w="3119" w:type="dxa"/>
          <w:tcBorders>
            <w:top w:val="single" w:sz="12" w:space="0" w:color="auto"/>
            <w:left w:val="single" w:sz="12" w:space="0" w:color="auto"/>
            <w:bottom w:val="single" w:sz="12" w:space="0" w:color="auto"/>
            <w:right w:val="single" w:sz="12" w:space="0" w:color="auto"/>
          </w:tcBorders>
          <w:vAlign w:val="center"/>
        </w:tcPr>
        <w:p w14:paraId="753CFD21" w14:textId="1ED9096E" w:rsidR="00986AEA" w:rsidRPr="00E3749A" w:rsidRDefault="00E3749A" w:rsidP="00365996">
          <w:pPr>
            <w:rPr>
              <w:rFonts w:ascii="ArialMT" w:hAnsi="ArialMT" w:cs="ArialMT"/>
              <w:color w:val="000000" w:themeColor="text1"/>
              <w:sz w:val="20"/>
              <w:szCs w:val="20"/>
            </w:rPr>
          </w:pPr>
          <w:r w:rsidRPr="00E3749A">
            <w:rPr>
              <w:rFonts w:ascii="ArialMT" w:hAnsi="ArialMT" w:cs="ArialMT"/>
              <w:color w:val="000000" w:themeColor="text1"/>
              <w:sz w:val="20"/>
              <w:szCs w:val="20"/>
            </w:rPr>
            <w:t>Date de mise à jour :</w:t>
          </w:r>
          <w:r w:rsidR="006D6D80">
            <w:rPr>
              <w:rFonts w:ascii="ArialMT" w:hAnsi="ArialMT" w:cs="ArialMT"/>
              <w:color w:val="FF0000"/>
              <w:sz w:val="20"/>
              <w:szCs w:val="20"/>
            </w:rPr>
            <w:t xml:space="preserve"> </w:t>
          </w:r>
          <w:r w:rsidR="00120CD9" w:rsidRPr="00120CD9">
            <w:rPr>
              <w:rFonts w:ascii="ArialMT" w:hAnsi="ArialMT" w:cs="ArialMT"/>
              <w:color w:val="000000" w:themeColor="text1"/>
              <w:sz w:val="20"/>
              <w:szCs w:val="20"/>
            </w:rPr>
            <w:t>16</w:t>
          </w:r>
          <w:r w:rsidR="006D6D80" w:rsidRPr="00120CD9">
            <w:rPr>
              <w:rFonts w:ascii="ArialMT" w:hAnsi="ArialMT" w:cs="ArialMT"/>
              <w:color w:val="000000" w:themeColor="text1"/>
              <w:sz w:val="20"/>
              <w:szCs w:val="20"/>
            </w:rPr>
            <w:t>/02/2024</w:t>
          </w:r>
        </w:p>
      </w:tc>
    </w:tr>
  </w:tbl>
  <w:p w14:paraId="394AABD2" w14:textId="77777777" w:rsidR="00986AEA" w:rsidRDefault="00986AEA" w:rsidP="00D716CE">
    <w:pPr>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13.6pt" o:bullet="t">
        <v:imagedata r:id="rId1" o:title="BD21329_"/>
      </v:shape>
    </w:pict>
  </w:numPicBullet>
  <w:abstractNum w:abstractNumId="0" w15:restartNumberingAfterBreak="0">
    <w:nsid w:val="13276C06"/>
    <w:multiLevelType w:val="hybridMultilevel"/>
    <w:tmpl w:val="F790FF26"/>
    <w:lvl w:ilvl="0" w:tplc="EF6A6B36">
      <w:start w:val="1"/>
      <w:numFmt w:val="bullet"/>
      <w:lvlText w:val=""/>
      <w:lvlPicBulletId w:val="0"/>
      <w:lvlJc w:val="left"/>
      <w:pPr>
        <w:ind w:left="579" w:hanging="360"/>
      </w:pPr>
      <w:rPr>
        <w:rFonts w:ascii="Symbol" w:hAnsi="Symbol" w:cs="Times New Roman" w:hint="default"/>
        <w:b/>
        <w:i w:val="0"/>
        <w:shadow/>
        <w:emboss w:val="0"/>
        <w:imprint w:val="0"/>
        <w:color w:val="auto"/>
        <w:sz w:val="24"/>
        <w:szCs w:val="16"/>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 w15:restartNumberingAfterBreak="0">
    <w:nsid w:val="15160F0D"/>
    <w:multiLevelType w:val="hybridMultilevel"/>
    <w:tmpl w:val="977E60E2"/>
    <w:lvl w:ilvl="0" w:tplc="3A3429D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0972BD"/>
    <w:multiLevelType w:val="hybridMultilevel"/>
    <w:tmpl w:val="33023B36"/>
    <w:lvl w:ilvl="0" w:tplc="B8401B86">
      <w:numFmt w:val="bullet"/>
      <w:lvlText w:val="-"/>
      <w:lvlJc w:val="left"/>
      <w:pPr>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E334655"/>
    <w:multiLevelType w:val="hybridMultilevel"/>
    <w:tmpl w:val="515A439A"/>
    <w:lvl w:ilvl="0" w:tplc="6052A3A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25A3A"/>
    <w:multiLevelType w:val="hybridMultilevel"/>
    <w:tmpl w:val="8C283CB2"/>
    <w:lvl w:ilvl="0" w:tplc="F4F869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D640A"/>
    <w:multiLevelType w:val="multilevel"/>
    <w:tmpl w:val="2988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348AB"/>
    <w:multiLevelType w:val="hybridMultilevel"/>
    <w:tmpl w:val="25F4475E"/>
    <w:lvl w:ilvl="0" w:tplc="D3B8E6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1B11EE"/>
    <w:multiLevelType w:val="hybridMultilevel"/>
    <w:tmpl w:val="BD920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6E3F02"/>
    <w:multiLevelType w:val="hybridMultilevel"/>
    <w:tmpl w:val="6B46B762"/>
    <w:lvl w:ilvl="0" w:tplc="F47E09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E23DF0"/>
    <w:multiLevelType w:val="hybridMultilevel"/>
    <w:tmpl w:val="BE74E958"/>
    <w:lvl w:ilvl="0" w:tplc="42E474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065FB2"/>
    <w:multiLevelType w:val="hybridMultilevel"/>
    <w:tmpl w:val="54AE2B9E"/>
    <w:lvl w:ilvl="0" w:tplc="67188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BE0406"/>
    <w:multiLevelType w:val="hybridMultilevel"/>
    <w:tmpl w:val="247E5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92010"/>
    <w:multiLevelType w:val="hybridMultilevel"/>
    <w:tmpl w:val="82C42056"/>
    <w:lvl w:ilvl="0" w:tplc="851CEB04">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56954E92"/>
    <w:multiLevelType w:val="hybridMultilevel"/>
    <w:tmpl w:val="F9280DD0"/>
    <w:lvl w:ilvl="0" w:tplc="4942E5B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D31380"/>
    <w:multiLevelType w:val="hybridMultilevel"/>
    <w:tmpl w:val="91E21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645B29"/>
    <w:multiLevelType w:val="hybridMultilevel"/>
    <w:tmpl w:val="8DDCA2B4"/>
    <w:lvl w:ilvl="0" w:tplc="B05C293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0F299A"/>
    <w:multiLevelType w:val="hybridMultilevel"/>
    <w:tmpl w:val="396420B4"/>
    <w:lvl w:ilvl="0" w:tplc="B8401B86">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69BA56AF"/>
    <w:multiLevelType w:val="hybridMultilevel"/>
    <w:tmpl w:val="4E8CA394"/>
    <w:lvl w:ilvl="0" w:tplc="62409F2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B4319B"/>
    <w:multiLevelType w:val="hybridMultilevel"/>
    <w:tmpl w:val="311A0560"/>
    <w:lvl w:ilvl="0" w:tplc="040C0011">
      <w:start w:val="1"/>
      <w:numFmt w:val="decimal"/>
      <w:lvlText w:val="%1)"/>
      <w:lvlJc w:val="left"/>
      <w:pPr>
        <w:ind w:left="2769"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9" w15:restartNumberingAfterBreak="0">
    <w:nsid w:val="6C694507"/>
    <w:multiLevelType w:val="hybridMultilevel"/>
    <w:tmpl w:val="938A81BE"/>
    <w:lvl w:ilvl="0" w:tplc="B8401B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904976"/>
    <w:multiLevelType w:val="hybridMultilevel"/>
    <w:tmpl w:val="700883BC"/>
    <w:lvl w:ilvl="0" w:tplc="C2A851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1F5666"/>
    <w:multiLevelType w:val="hybridMultilevel"/>
    <w:tmpl w:val="43D25BFA"/>
    <w:lvl w:ilvl="0" w:tplc="9DC64CB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2716107">
    <w:abstractNumId w:val="12"/>
  </w:num>
  <w:num w:numId="2" w16cid:durableId="2077625179">
    <w:abstractNumId w:val="16"/>
  </w:num>
  <w:num w:numId="3" w16cid:durableId="411004679">
    <w:abstractNumId w:val="8"/>
  </w:num>
  <w:num w:numId="4" w16cid:durableId="86193959">
    <w:abstractNumId w:val="4"/>
  </w:num>
  <w:num w:numId="5" w16cid:durableId="965771243">
    <w:abstractNumId w:val="7"/>
  </w:num>
  <w:num w:numId="6" w16cid:durableId="969171862">
    <w:abstractNumId w:val="9"/>
  </w:num>
  <w:num w:numId="7" w16cid:durableId="872815292">
    <w:abstractNumId w:val="1"/>
  </w:num>
  <w:num w:numId="8" w16cid:durableId="530146552">
    <w:abstractNumId w:val="20"/>
  </w:num>
  <w:num w:numId="9" w16cid:durableId="1428623337">
    <w:abstractNumId w:val="19"/>
  </w:num>
  <w:num w:numId="10" w16cid:durableId="1316763513">
    <w:abstractNumId w:val="2"/>
  </w:num>
  <w:num w:numId="11" w16cid:durableId="1915504330">
    <w:abstractNumId w:val="11"/>
  </w:num>
  <w:num w:numId="12" w16cid:durableId="884946860">
    <w:abstractNumId w:val="13"/>
  </w:num>
  <w:num w:numId="13" w16cid:durableId="1161896472">
    <w:abstractNumId w:val="0"/>
  </w:num>
  <w:num w:numId="14" w16cid:durableId="1691950189">
    <w:abstractNumId w:val="14"/>
  </w:num>
  <w:num w:numId="15" w16cid:durableId="1630739105">
    <w:abstractNumId w:val="21"/>
  </w:num>
  <w:num w:numId="16" w16cid:durableId="1871843239">
    <w:abstractNumId w:val="15"/>
  </w:num>
  <w:num w:numId="17" w16cid:durableId="1503005606">
    <w:abstractNumId w:val="17"/>
  </w:num>
  <w:num w:numId="18" w16cid:durableId="1596205154">
    <w:abstractNumId w:val="3"/>
  </w:num>
  <w:num w:numId="19" w16cid:durableId="2090345885">
    <w:abstractNumId w:val="10"/>
  </w:num>
  <w:num w:numId="20" w16cid:durableId="408432520">
    <w:abstractNumId w:val="5"/>
  </w:num>
  <w:num w:numId="21" w16cid:durableId="412435424">
    <w:abstractNumId w:val="18"/>
  </w:num>
  <w:num w:numId="22" w16cid:durableId="2044331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C90"/>
    <w:rsid w:val="000073F8"/>
    <w:rsid w:val="0002689D"/>
    <w:rsid w:val="00026E3E"/>
    <w:rsid w:val="000310A2"/>
    <w:rsid w:val="0006408D"/>
    <w:rsid w:val="00083BAE"/>
    <w:rsid w:val="00090885"/>
    <w:rsid w:val="000944AB"/>
    <w:rsid w:val="000955A2"/>
    <w:rsid w:val="000B3871"/>
    <w:rsid w:val="000B4F8A"/>
    <w:rsid w:val="000C0203"/>
    <w:rsid w:val="000C3BDC"/>
    <w:rsid w:val="000C43FF"/>
    <w:rsid w:val="000C74D4"/>
    <w:rsid w:val="000E71C6"/>
    <w:rsid w:val="0010322C"/>
    <w:rsid w:val="00103941"/>
    <w:rsid w:val="00107415"/>
    <w:rsid w:val="00120CD9"/>
    <w:rsid w:val="00124BB1"/>
    <w:rsid w:val="00144317"/>
    <w:rsid w:val="001518D8"/>
    <w:rsid w:val="00155315"/>
    <w:rsid w:val="00155B49"/>
    <w:rsid w:val="001622C2"/>
    <w:rsid w:val="00162A00"/>
    <w:rsid w:val="001820C1"/>
    <w:rsid w:val="00192C3D"/>
    <w:rsid w:val="00193C9A"/>
    <w:rsid w:val="001A45D4"/>
    <w:rsid w:val="001A500A"/>
    <w:rsid w:val="001C5F43"/>
    <w:rsid w:val="001E6FDB"/>
    <w:rsid w:val="001F2303"/>
    <w:rsid w:val="00225EF9"/>
    <w:rsid w:val="00235EFE"/>
    <w:rsid w:val="00245B5C"/>
    <w:rsid w:val="0025206C"/>
    <w:rsid w:val="002643B5"/>
    <w:rsid w:val="0027212E"/>
    <w:rsid w:val="00290C42"/>
    <w:rsid w:val="002B556E"/>
    <w:rsid w:val="002C540F"/>
    <w:rsid w:val="002C617A"/>
    <w:rsid w:val="002D20CB"/>
    <w:rsid w:val="002D567B"/>
    <w:rsid w:val="002E5AFF"/>
    <w:rsid w:val="002F3A6A"/>
    <w:rsid w:val="002F54EE"/>
    <w:rsid w:val="00340531"/>
    <w:rsid w:val="003410DA"/>
    <w:rsid w:val="0034428C"/>
    <w:rsid w:val="00356142"/>
    <w:rsid w:val="00365996"/>
    <w:rsid w:val="00367C67"/>
    <w:rsid w:val="00370163"/>
    <w:rsid w:val="003856DC"/>
    <w:rsid w:val="003878CD"/>
    <w:rsid w:val="00396E9E"/>
    <w:rsid w:val="003A2E2C"/>
    <w:rsid w:val="003A57FC"/>
    <w:rsid w:val="003C54ED"/>
    <w:rsid w:val="003C5695"/>
    <w:rsid w:val="003E20B3"/>
    <w:rsid w:val="003E52D1"/>
    <w:rsid w:val="003F322E"/>
    <w:rsid w:val="003F56BD"/>
    <w:rsid w:val="00400586"/>
    <w:rsid w:val="00425F5A"/>
    <w:rsid w:val="00427168"/>
    <w:rsid w:val="004429E8"/>
    <w:rsid w:val="0044507C"/>
    <w:rsid w:val="00445938"/>
    <w:rsid w:val="00453095"/>
    <w:rsid w:val="00465179"/>
    <w:rsid w:val="00465872"/>
    <w:rsid w:val="00473EF0"/>
    <w:rsid w:val="004823B0"/>
    <w:rsid w:val="00486C64"/>
    <w:rsid w:val="00495291"/>
    <w:rsid w:val="004A4C3A"/>
    <w:rsid w:val="004B48E5"/>
    <w:rsid w:val="004B6E48"/>
    <w:rsid w:val="004D2B2F"/>
    <w:rsid w:val="004D3340"/>
    <w:rsid w:val="004E4D6E"/>
    <w:rsid w:val="004E517B"/>
    <w:rsid w:val="00505A69"/>
    <w:rsid w:val="00520019"/>
    <w:rsid w:val="00531AEC"/>
    <w:rsid w:val="00531C89"/>
    <w:rsid w:val="00542191"/>
    <w:rsid w:val="00566B8B"/>
    <w:rsid w:val="00570E0E"/>
    <w:rsid w:val="00581BFA"/>
    <w:rsid w:val="00591FED"/>
    <w:rsid w:val="00592C27"/>
    <w:rsid w:val="00593FDA"/>
    <w:rsid w:val="005A0832"/>
    <w:rsid w:val="005A4F55"/>
    <w:rsid w:val="005B06E3"/>
    <w:rsid w:val="005C53CA"/>
    <w:rsid w:val="005E18B8"/>
    <w:rsid w:val="00625E31"/>
    <w:rsid w:val="006305A0"/>
    <w:rsid w:val="00633E09"/>
    <w:rsid w:val="006366D5"/>
    <w:rsid w:val="0066160F"/>
    <w:rsid w:val="006924CC"/>
    <w:rsid w:val="00694619"/>
    <w:rsid w:val="00696736"/>
    <w:rsid w:val="006A755B"/>
    <w:rsid w:val="006B6EF7"/>
    <w:rsid w:val="006D1D72"/>
    <w:rsid w:val="006D6D80"/>
    <w:rsid w:val="006E1801"/>
    <w:rsid w:val="006F063C"/>
    <w:rsid w:val="006F2BA1"/>
    <w:rsid w:val="006F3F16"/>
    <w:rsid w:val="006F4E0A"/>
    <w:rsid w:val="006F5EAC"/>
    <w:rsid w:val="00712B3C"/>
    <w:rsid w:val="00714036"/>
    <w:rsid w:val="00751EA1"/>
    <w:rsid w:val="00754F95"/>
    <w:rsid w:val="00760ED4"/>
    <w:rsid w:val="007B1824"/>
    <w:rsid w:val="007D1B6D"/>
    <w:rsid w:val="007E783D"/>
    <w:rsid w:val="007F179E"/>
    <w:rsid w:val="008047EC"/>
    <w:rsid w:val="00835AF9"/>
    <w:rsid w:val="00837BE7"/>
    <w:rsid w:val="00840283"/>
    <w:rsid w:val="008435A4"/>
    <w:rsid w:val="008501D0"/>
    <w:rsid w:val="00851E99"/>
    <w:rsid w:val="00854227"/>
    <w:rsid w:val="0087651F"/>
    <w:rsid w:val="0089754A"/>
    <w:rsid w:val="008B4162"/>
    <w:rsid w:val="008B5EB2"/>
    <w:rsid w:val="008B6E56"/>
    <w:rsid w:val="008C1A7D"/>
    <w:rsid w:val="008C5F13"/>
    <w:rsid w:val="008D61A3"/>
    <w:rsid w:val="008E0B57"/>
    <w:rsid w:val="008E31A2"/>
    <w:rsid w:val="008E3221"/>
    <w:rsid w:val="008F762D"/>
    <w:rsid w:val="00901523"/>
    <w:rsid w:val="009029F0"/>
    <w:rsid w:val="009044ED"/>
    <w:rsid w:val="00911B63"/>
    <w:rsid w:val="00912C90"/>
    <w:rsid w:val="00940671"/>
    <w:rsid w:val="00946E9A"/>
    <w:rsid w:val="00952F5F"/>
    <w:rsid w:val="0096153C"/>
    <w:rsid w:val="00962392"/>
    <w:rsid w:val="009653A3"/>
    <w:rsid w:val="00975D1C"/>
    <w:rsid w:val="00977C5D"/>
    <w:rsid w:val="0098695B"/>
    <w:rsid w:val="00986AEA"/>
    <w:rsid w:val="00991D55"/>
    <w:rsid w:val="009A26EB"/>
    <w:rsid w:val="009C39B4"/>
    <w:rsid w:val="009E4EAA"/>
    <w:rsid w:val="009F35C2"/>
    <w:rsid w:val="009F37CF"/>
    <w:rsid w:val="009F58BB"/>
    <w:rsid w:val="00A05708"/>
    <w:rsid w:val="00A109DB"/>
    <w:rsid w:val="00A14E89"/>
    <w:rsid w:val="00A15BE3"/>
    <w:rsid w:val="00A16E09"/>
    <w:rsid w:val="00A21551"/>
    <w:rsid w:val="00A228C8"/>
    <w:rsid w:val="00A32522"/>
    <w:rsid w:val="00A444EB"/>
    <w:rsid w:val="00A50B56"/>
    <w:rsid w:val="00A665F3"/>
    <w:rsid w:val="00AA77DD"/>
    <w:rsid w:val="00AB2E64"/>
    <w:rsid w:val="00AC1E14"/>
    <w:rsid w:val="00AD52C9"/>
    <w:rsid w:val="00AF0D81"/>
    <w:rsid w:val="00B044B6"/>
    <w:rsid w:val="00B24BE5"/>
    <w:rsid w:val="00B525F6"/>
    <w:rsid w:val="00B636A7"/>
    <w:rsid w:val="00B64D56"/>
    <w:rsid w:val="00B72A3B"/>
    <w:rsid w:val="00B75A8A"/>
    <w:rsid w:val="00B8318C"/>
    <w:rsid w:val="00B91D2F"/>
    <w:rsid w:val="00B946B5"/>
    <w:rsid w:val="00BA0579"/>
    <w:rsid w:val="00BA4CC3"/>
    <w:rsid w:val="00BA6FB1"/>
    <w:rsid w:val="00BB4D37"/>
    <w:rsid w:val="00BD2CB6"/>
    <w:rsid w:val="00BD2DD0"/>
    <w:rsid w:val="00BD75F6"/>
    <w:rsid w:val="00BF1FC9"/>
    <w:rsid w:val="00BF792B"/>
    <w:rsid w:val="00C010F2"/>
    <w:rsid w:val="00C050D7"/>
    <w:rsid w:val="00C16E54"/>
    <w:rsid w:val="00C23149"/>
    <w:rsid w:val="00C423D0"/>
    <w:rsid w:val="00C67C16"/>
    <w:rsid w:val="00C711CA"/>
    <w:rsid w:val="00C77393"/>
    <w:rsid w:val="00C8638E"/>
    <w:rsid w:val="00C86E43"/>
    <w:rsid w:val="00C87A70"/>
    <w:rsid w:val="00C94CAF"/>
    <w:rsid w:val="00CA3005"/>
    <w:rsid w:val="00CA3CE4"/>
    <w:rsid w:val="00CF760E"/>
    <w:rsid w:val="00CF7A74"/>
    <w:rsid w:val="00D02020"/>
    <w:rsid w:val="00D024B8"/>
    <w:rsid w:val="00D06DEA"/>
    <w:rsid w:val="00D1313A"/>
    <w:rsid w:val="00D36C68"/>
    <w:rsid w:val="00D42601"/>
    <w:rsid w:val="00D53776"/>
    <w:rsid w:val="00D61DE7"/>
    <w:rsid w:val="00D716CE"/>
    <w:rsid w:val="00D81484"/>
    <w:rsid w:val="00D86CDC"/>
    <w:rsid w:val="00DC1543"/>
    <w:rsid w:val="00DC2D7A"/>
    <w:rsid w:val="00DC30A8"/>
    <w:rsid w:val="00DC570A"/>
    <w:rsid w:val="00DD0E2E"/>
    <w:rsid w:val="00DE3FDF"/>
    <w:rsid w:val="00E01E2D"/>
    <w:rsid w:val="00E166B6"/>
    <w:rsid w:val="00E2467F"/>
    <w:rsid w:val="00E3749A"/>
    <w:rsid w:val="00E56945"/>
    <w:rsid w:val="00E62FDB"/>
    <w:rsid w:val="00EA2F28"/>
    <w:rsid w:val="00EB26F8"/>
    <w:rsid w:val="00EB4DB8"/>
    <w:rsid w:val="00EB72C7"/>
    <w:rsid w:val="00ED1C79"/>
    <w:rsid w:val="00ED2DBA"/>
    <w:rsid w:val="00ED5D96"/>
    <w:rsid w:val="00EE2923"/>
    <w:rsid w:val="00EE7A39"/>
    <w:rsid w:val="00EF6F57"/>
    <w:rsid w:val="00F0691C"/>
    <w:rsid w:val="00F07371"/>
    <w:rsid w:val="00F11A05"/>
    <w:rsid w:val="00F25795"/>
    <w:rsid w:val="00F30514"/>
    <w:rsid w:val="00F61D0F"/>
    <w:rsid w:val="00F66C7E"/>
    <w:rsid w:val="00F67708"/>
    <w:rsid w:val="00F76581"/>
    <w:rsid w:val="00F90920"/>
    <w:rsid w:val="00F951E3"/>
    <w:rsid w:val="00FB02CA"/>
    <w:rsid w:val="00FC1165"/>
    <w:rsid w:val="00FC60F5"/>
    <w:rsid w:val="00FC7C51"/>
    <w:rsid w:val="00FD0637"/>
    <w:rsid w:val="00FE169F"/>
    <w:rsid w:val="00FE61AD"/>
    <w:rsid w:val="00FF080D"/>
    <w:rsid w:val="00FF111A"/>
    <w:rsid w:val="00FF1663"/>
    <w:rsid w:val="00FF5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3B4D0B6"/>
  <w15:docId w15:val="{B2B6118D-5DBC-4577-B627-D49B9F1A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A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12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12C90"/>
    <w:pPr>
      <w:spacing w:after="0" w:line="240" w:lineRule="auto"/>
      <w:jc w:val="both"/>
    </w:pPr>
    <w:rPr>
      <w:rFonts w:ascii="Calibri" w:eastAsia="Calibri" w:hAnsi="Calibri" w:cs="Times New Roman"/>
    </w:rPr>
  </w:style>
  <w:style w:type="paragraph" w:styleId="Textedebulles">
    <w:name w:val="Balloon Text"/>
    <w:basedOn w:val="Normal"/>
    <w:link w:val="TextedebullesCar"/>
    <w:uiPriority w:val="99"/>
    <w:semiHidden/>
    <w:unhideWhenUsed/>
    <w:rsid w:val="008E0B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0B57"/>
    <w:rPr>
      <w:rFonts w:ascii="Tahoma" w:hAnsi="Tahoma" w:cs="Tahoma"/>
      <w:sz w:val="16"/>
      <w:szCs w:val="16"/>
    </w:rPr>
  </w:style>
  <w:style w:type="paragraph" w:styleId="En-tte">
    <w:name w:val="header"/>
    <w:basedOn w:val="Normal"/>
    <w:link w:val="En-tteCar"/>
    <w:semiHidden/>
    <w:rsid w:val="00B044B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B044B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4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4B6"/>
  </w:style>
  <w:style w:type="paragraph" w:styleId="Corpsdetexte">
    <w:name w:val="Body Text"/>
    <w:basedOn w:val="Normal"/>
    <w:link w:val="CorpsdetexteCar"/>
    <w:rsid w:val="004A4C3A"/>
    <w:pPr>
      <w:spacing w:after="0" w:line="240" w:lineRule="auto"/>
      <w:jc w:val="center"/>
    </w:pPr>
    <w:rPr>
      <w:rFonts w:ascii="Tahoma" w:eastAsia="Times New Roman" w:hAnsi="Tahoma" w:cs="Tahoma"/>
      <w:b/>
      <w:sz w:val="32"/>
      <w:szCs w:val="24"/>
      <w:lang w:eastAsia="fr-FR"/>
    </w:rPr>
  </w:style>
  <w:style w:type="character" w:customStyle="1" w:styleId="CorpsdetexteCar">
    <w:name w:val="Corps de texte Car"/>
    <w:basedOn w:val="Policepardfaut"/>
    <w:link w:val="Corpsdetexte"/>
    <w:rsid w:val="004A4C3A"/>
    <w:rPr>
      <w:rFonts w:ascii="Tahoma" w:eastAsia="Times New Roman" w:hAnsi="Tahoma" w:cs="Tahoma"/>
      <w:b/>
      <w:sz w:val="32"/>
      <w:szCs w:val="24"/>
      <w:lang w:eastAsia="fr-FR"/>
    </w:rPr>
  </w:style>
  <w:style w:type="paragraph" w:customStyle="1" w:styleId="textesimple">
    <w:name w:val="texte:simple"/>
    <w:basedOn w:val="Normal"/>
    <w:rsid w:val="00340531"/>
    <w:pPr>
      <w:tabs>
        <w:tab w:val="left" w:pos="0"/>
        <w:tab w:val="left" w:pos="720"/>
        <w:tab w:val="left" w:pos="1440"/>
        <w:tab w:val="left" w:pos="2160"/>
        <w:tab w:val="left" w:pos="2835"/>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340531"/>
    <w:pPr>
      <w:spacing w:after="0" w:line="240" w:lineRule="auto"/>
    </w:pPr>
    <w:rPr>
      <w:rFonts w:ascii="Times New Roman" w:eastAsia="Times New Roman" w:hAnsi="Times New Roman" w:cs="Times New Roman"/>
      <w:b/>
      <w:bCs/>
      <w:color w:val="000080"/>
      <w:sz w:val="24"/>
      <w:szCs w:val="24"/>
      <w:lang w:eastAsia="fr-FR"/>
    </w:rPr>
  </w:style>
  <w:style w:type="character" w:customStyle="1" w:styleId="Corpsdetexte2Car">
    <w:name w:val="Corps de texte 2 Car"/>
    <w:basedOn w:val="Policepardfaut"/>
    <w:link w:val="Corpsdetexte2"/>
    <w:semiHidden/>
    <w:rsid w:val="00340531"/>
    <w:rPr>
      <w:rFonts w:ascii="Times New Roman" w:eastAsia="Times New Roman" w:hAnsi="Times New Roman" w:cs="Times New Roman"/>
      <w:b/>
      <w:bCs/>
      <w:color w:val="000080"/>
      <w:sz w:val="24"/>
      <w:szCs w:val="24"/>
      <w:lang w:eastAsia="fr-FR"/>
    </w:rPr>
  </w:style>
  <w:style w:type="paragraph" w:styleId="Paragraphedeliste">
    <w:name w:val="List Paragraph"/>
    <w:basedOn w:val="Normal"/>
    <w:uiPriority w:val="34"/>
    <w:qFormat/>
    <w:rsid w:val="00837BE7"/>
    <w:pPr>
      <w:ind w:left="720"/>
      <w:contextualSpacing/>
    </w:pPr>
  </w:style>
  <w:style w:type="paragraph" w:styleId="NormalWeb">
    <w:name w:val="Normal (Web)"/>
    <w:basedOn w:val="Normal"/>
    <w:uiPriority w:val="99"/>
    <w:semiHidden/>
    <w:unhideWhenUsed/>
    <w:rsid w:val="00D814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uiPriority w:val="99"/>
    <w:rsid w:val="00FB02CA"/>
    <w:pPr>
      <w:spacing w:after="0" w:line="240" w:lineRule="auto"/>
      <w:jc w:val="both"/>
    </w:pPr>
    <w:rPr>
      <w:rFonts w:ascii="Arial" w:eastAsia="Times New Roman" w:hAnsi="Arial" w:cs="Arial"/>
      <w:color w:val="000000"/>
      <w:lang w:eastAsia="fr-FR"/>
    </w:rPr>
  </w:style>
  <w:style w:type="character" w:customStyle="1" w:styleId="markedcontent">
    <w:name w:val="markedcontent"/>
    <w:basedOn w:val="Policepardfaut"/>
    <w:rsid w:val="009029F0"/>
  </w:style>
  <w:style w:type="character" w:styleId="Lienhypertexte">
    <w:name w:val="Hyperlink"/>
    <w:basedOn w:val="Policepardfaut"/>
    <w:uiPriority w:val="99"/>
    <w:unhideWhenUsed/>
    <w:rsid w:val="00DC2D7A"/>
    <w:rPr>
      <w:color w:val="0000FF" w:themeColor="hyperlink"/>
      <w:u w:val="single"/>
    </w:rPr>
  </w:style>
  <w:style w:type="character" w:styleId="Mentionnonrsolue">
    <w:name w:val="Unresolved Mention"/>
    <w:basedOn w:val="Policepardfaut"/>
    <w:uiPriority w:val="99"/>
    <w:semiHidden/>
    <w:unhideWhenUsed/>
    <w:rsid w:val="00DC2D7A"/>
    <w:rPr>
      <w:color w:val="605E5C"/>
      <w:shd w:val="clear" w:color="auto" w:fill="E1DFDD"/>
    </w:rPr>
  </w:style>
  <w:style w:type="paragraph" w:customStyle="1" w:styleId="Default">
    <w:name w:val="Default"/>
    <w:rsid w:val="00911B63"/>
    <w:pPr>
      <w:autoSpaceDE w:val="0"/>
      <w:autoSpaceDN w:val="0"/>
      <w:adjustRightInd w:val="0"/>
      <w:spacing w:after="0" w:line="240" w:lineRule="auto"/>
    </w:pPr>
    <w:rPr>
      <w:rFonts w:ascii="Tahoma" w:hAnsi="Tahoma" w:cs="Tahoma"/>
      <w:color w:val="000000"/>
      <w:sz w:val="24"/>
      <w:szCs w:val="24"/>
    </w:rPr>
  </w:style>
  <w:style w:type="character" w:customStyle="1" w:styleId="hgkelc">
    <w:name w:val="hgkelc"/>
    <w:basedOn w:val="Policepardfaut"/>
    <w:rsid w:val="00107415"/>
  </w:style>
  <w:style w:type="paragraph" w:customStyle="1" w:styleId="Date1">
    <w:name w:val="Date1"/>
    <w:basedOn w:val="Normal"/>
    <w:rsid w:val="004429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696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758794">
      <w:bodyDiv w:val="1"/>
      <w:marLeft w:val="0"/>
      <w:marRight w:val="0"/>
      <w:marTop w:val="0"/>
      <w:marBottom w:val="0"/>
      <w:divBdr>
        <w:top w:val="none" w:sz="0" w:space="0" w:color="auto"/>
        <w:left w:val="none" w:sz="0" w:space="0" w:color="auto"/>
        <w:bottom w:val="none" w:sz="0" w:space="0" w:color="auto"/>
        <w:right w:val="none" w:sz="0" w:space="0" w:color="auto"/>
      </w:divBdr>
    </w:div>
    <w:div w:id="592787185">
      <w:bodyDiv w:val="1"/>
      <w:marLeft w:val="0"/>
      <w:marRight w:val="0"/>
      <w:marTop w:val="0"/>
      <w:marBottom w:val="0"/>
      <w:divBdr>
        <w:top w:val="none" w:sz="0" w:space="0" w:color="auto"/>
        <w:left w:val="none" w:sz="0" w:space="0" w:color="auto"/>
        <w:bottom w:val="none" w:sz="0" w:space="0" w:color="auto"/>
        <w:right w:val="none" w:sz="0" w:space="0" w:color="auto"/>
      </w:divBdr>
    </w:div>
    <w:div w:id="649362296">
      <w:bodyDiv w:val="1"/>
      <w:marLeft w:val="0"/>
      <w:marRight w:val="0"/>
      <w:marTop w:val="0"/>
      <w:marBottom w:val="0"/>
      <w:divBdr>
        <w:top w:val="none" w:sz="0" w:space="0" w:color="auto"/>
        <w:left w:val="none" w:sz="0" w:space="0" w:color="auto"/>
        <w:bottom w:val="none" w:sz="0" w:space="0" w:color="auto"/>
        <w:right w:val="none" w:sz="0" w:space="0" w:color="auto"/>
      </w:divBdr>
      <w:divsChild>
        <w:div w:id="230431312">
          <w:marLeft w:val="0"/>
          <w:marRight w:val="0"/>
          <w:marTop w:val="0"/>
          <w:marBottom w:val="0"/>
          <w:divBdr>
            <w:top w:val="none" w:sz="0" w:space="0" w:color="auto"/>
            <w:left w:val="none" w:sz="0" w:space="0" w:color="auto"/>
            <w:bottom w:val="none" w:sz="0" w:space="0" w:color="auto"/>
            <w:right w:val="none" w:sz="0" w:space="0" w:color="auto"/>
          </w:divBdr>
        </w:div>
        <w:div w:id="1994408091">
          <w:marLeft w:val="0"/>
          <w:marRight w:val="0"/>
          <w:marTop w:val="0"/>
          <w:marBottom w:val="0"/>
          <w:divBdr>
            <w:top w:val="none" w:sz="0" w:space="0" w:color="auto"/>
            <w:left w:val="none" w:sz="0" w:space="0" w:color="auto"/>
            <w:bottom w:val="none" w:sz="0" w:space="0" w:color="auto"/>
            <w:right w:val="none" w:sz="0" w:space="0" w:color="auto"/>
          </w:divBdr>
        </w:div>
      </w:divsChild>
    </w:div>
    <w:div w:id="669985773">
      <w:bodyDiv w:val="1"/>
      <w:marLeft w:val="0"/>
      <w:marRight w:val="0"/>
      <w:marTop w:val="0"/>
      <w:marBottom w:val="0"/>
      <w:divBdr>
        <w:top w:val="none" w:sz="0" w:space="0" w:color="auto"/>
        <w:left w:val="none" w:sz="0" w:space="0" w:color="auto"/>
        <w:bottom w:val="none" w:sz="0" w:space="0" w:color="auto"/>
        <w:right w:val="none" w:sz="0" w:space="0" w:color="auto"/>
      </w:divBdr>
      <w:divsChild>
        <w:div w:id="831802117">
          <w:marLeft w:val="0"/>
          <w:marRight w:val="0"/>
          <w:marTop w:val="0"/>
          <w:marBottom w:val="0"/>
          <w:divBdr>
            <w:top w:val="none" w:sz="0" w:space="0" w:color="auto"/>
            <w:left w:val="none" w:sz="0" w:space="0" w:color="auto"/>
            <w:bottom w:val="none" w:sz="0" w:space="0" w:color="auto"/>
            <w:right w:val="none" w:sz="0" w:space="0" w:color="auto"/>
          </w:divBdr>
        </w:div>
        <w:div w:id="1538858271">
          <w:marLeft w:val="0"/>
          <w:marRight w:val="0"/>
          <w:marTop w:val="0"/>
          <w:marBottom w:val="0"/>
          <w:divBdr>
            <w:top w:val="none" w:sz="0" w:space="0" w:color="auto"/>
            <w:left w:val="none" w:sz="0" w:space="0" w:color="auto"/>
            <w:bottom w:val="none" w:sz="0" w:space="0" w:color="auto"/>
            <w:right w:val="none" w:sz="0" w:space="0" w:color="auto"/>
          </w:divBdr>
        </w:div>
      </w:divsChild>
    </w:div>
    <w:div w:id="829832434">
      <w:bodyDiv w:val="1"/>
      <w:marLeft w:val="0"/>
      <w:marRight w:val="0"/>
      <w:marTop w:val="0"/>
      <w:marBottom w:val="0"/>
      <w:divBdr>
        <w:top w:val="none" w:sz="0" w:space="0" w:color="auto"/>
        <w:left w:val="none" w:sz="0" w:space="0" w:color="auto"/>
        <w:bottom w:val="none" w:sz="0" w:space="0" w:color="auto"/>
        <w:right w:val="none" w:sz="0" w:space="0" w:color="auto"/>
      </w:divBdr>
    </w:div>
    <w:div w:id="1876313312">
      <w:bodyDiv w:val="1"/>
      <w:marLeft w:val="0"/>
      <w:marRight w:val="0"/>
      <w:marTop w:val="0"/>
      <w:marBottom w:val="0"/>
      <w:divBdr>
        <w:top w:val="none" w:sz="0" w:space="0" w:color="auto"/>
        <w:left w:val="none" w:sz="0" w:space="0" w:color="auto"/>
        <w:bottom w:val="none" w:sz="0" w:space="0" w:color="auto"/>
        <w:right w:val="none" w:sz="0" w:space="0" w:color="auto"/>
      </w:divBdr>
    </w:div>
    <w:div w:id="1934170238">
      <w:bodyDiv w:val="1"/>
      <w:marLeft w:val="0"/>
      <w:marRight w:val="0"/>
      <w:marTop w:val="0"/>
      <w:marBottom w:val="0"/>
      <w:divBdr>
        <w:top w:val="none" w:sz="0" w:space="0" w:color="auto"/>
        <w:left w:val="none" w:sz="0" w:space="0" w:color="auto"/>
        <w:bottom w:val="none" w:sz="0" w:space="0" w:color="auto"/>
        <w:right w:val="none" w:sz="0" w:space="0" w:color="auto"/>
      </w:divBdr>
      <w:divsChild>
        <w:div w:id="732235049">
          <w:marLeft w:val="547"/>
          <w:marRight w:val="0"/>
          <w:marTop w:val="0"/>
          <w:marBottom w:val="0"/>
          <w:divBdr>
            <w:top w:val="none" w:sz="0" w:space="0" w:color="auto"/>
            <w:left w:val="none" w:sz="0" w:space="0" w:color="auto"/>
            <w:bottom w:val="none" w:sz="0" w:space="0" w:color="auto"/>
            <w:right w:val="none" w:sz="0" w:space="0" w:color="auto"/>
          </w:divBdr>
        </w:div>
      </w:divsChild>
    </w:div>
    <w:div w:id="1991250528">
      <w:bodyDiv w:val="1"/>
      <w:marLeft w:val="0"/>
      <w:marRight w:val="0"/>
      <w:marTop w:val="0"/>
      <w:marBottom w:val="0"/>
      <w:divBdr>
        <w:top w:val="none" w:sz="0" w:space="0" w:color="auto"/>
        <w:left w:val="none" w:sz="0" w:space="0" w:color="auto"/>
        <w:bottom w:val="none" w:sz="0" w:space="0" w:color="auto"/>
        <w:right w:val="none" w:sz="0" w:space="0" w:color="auto"/>
      </w:divBdr>
      <w:divsChild>
        <w:div w:id="197764221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g66.fr/wp-content/uploads/2023/10/DR-02-Formations-en-Sante-et-Securite-au-Trava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g66.fr/la-documentation-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940D4-D091-4113-9246-6D9D5533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Pages>5</Pages>
  <Words>1734</Words>
  <Characters>9543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j.sageloly</dc:creator>
  <cp:keywords/>
  <dc:description/>
  <cp:lastModifiedBy>Julien SAGELOLY</cp:lastModifiedBy>
  <cp:revision>50</cp:revision>
  <cp:lastPrinted>2024-03-08T16:33:00Z</cp:lastPrinted>
  <dcterms:created xsi:type="dcterms:W3CDTF">2023-01-12T17:02:00Z</dcterms:created>
  <dcterms:modified xsi:type="dcterms:W3CDTF">2024-03-08T16:34:00Z</dcterms:modified>
</cp:coreProperties>
</file>